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D30" w:rsidRDefault="009A6D30" w:rsidP="00765A5C">
      <w:pPr>
        <w:spacing w:before="1200" w:after="840" w:line="360" w:lineRule="auto"/>
        <w:jc w:val="center"/>
        <w:rPr>
          <w:rStyle w:val="IntenseReference"/>
          <w:bCs w:val="0"/>
          <w:i w:val="0"/>
          <w:smallCaps w:val="0"/>
          <w:spacing w:val="0"/>
          <w:sz w:val="56"/>
          <w:szCs w:val="56"/>
        </w:rPr>
      </w:pPr>
    </w:p>
    <w:p w:rsidR="00EC3ECD" w:rsidRPr="00493B05" w:rsidRDefault="00EC3ECD" w:rsidP="00765A5C">
      <w:pPr>
        <w:spacing w:before="1200" w:after="840" w:line="360" w:lineRule="auto"/>
        <w:jc w:val="center"/>
        <w:rPr>
          <w:rStyle w:val="IntenseReference"/>
          <w:bCs w:val="0"/>
          <w:i w:val="0"/>
          <w:smallCaps w:val="0"/>
          <w:spacing w:val="0"/>
          <w:sz w:val="52"/>
          <w:szCs w:val="52"/>
        </w:rPr>
      </w:pPr>
      <w:r w:rsidRPr="00EE2A31">
        <w:rPr>
          <w:rStyle w:val="IntenseReference"/>
          <w:bCs w:val="0"/>
          <w:i w:val="0"/>
          <w:smallCaps w:val="0"/>
          <w:color w:val="000000" w:themeColor="text1"/>
          <w:spacing w:val="0"/>
          <w:sz w:val="56"/>
          <w:szCs w:val="56"/>
        </w:rPr>
        <w:t xml:space="preserve">HEALTH STAR RATING SYSTEM: </w:t>
      </w:r>
      <w:r w:rsidR="001F48F8" w:rsidRPr="00493B05">
        <w:rPr>
          <w:rStyle w:val="IntenseReference"/>
          <w:b w:val="0"/>
          <w:bCs w:val="0"/>
          <w:i w:val="0"/>
          <w:smallCaps w:val="0"/>
          <w:color w:val="000000" w:themeColor="text1"/>
          <w:spacing w:val="0"/>
          <w:sz w:val="52"/>
          <w:szCs w:val="52"/>
          <w:u w:val="single"/>
        </w:rPr>
        <w:t xml:space="preserve">CAMPAIGN </w:t>
      </w:r>
      <w:r w:rsidR="00C13AF8" w:rsidRPr="00493B05">
        <w:rPr>
          <w:rStyle w:val="IntenseReference"/>
          <w:b w:val="0"/>
          <w:bCs w:val="0"/>
          <w:i w:val="0"/>
          <w:smallCaps w:val="0"/>
          <w:color w:val="000000" w:themeColor="text1"/>
          <w:spacing w:val="0"/>
          <w:sz w:val="52"/>
          <w:szCs w:val="52"/>
          <w:u w:val="single"/>
        </w:rPr>
        <w:t>EVALUATION</w:t>
      </w:r>
      <w:r w:rsidR="00143223" w:rsidRPr="00493B05">
        <w:rPr>
          <w:rStyle w:val="IntenseReference"/>
          <w:b w:val="0"/>
          <w:bCs w:val="0"/>
          <w:i w:val="0"/>
          <w:smallCaps w:val="0"/>
          <w:color w:val="000000" w:themeColor="text1"/>
          <w:spacing w:val="0"/>
          <w:sz w:val="52"/>
          <w:szCs w:val="52"/>
          <w:u w:val="single"/>
        </w:rPr>
        <w:t xml:space="preserve"> REPORT</w:t>
      </w:r>
    </w:p>
    <w:p w:rsidR="00EC3ECD" w:rsidRPr="009A6D30" w:rsidRDefault="00D84650" w:rsidP="00D84650">
      <w:pPr>
        <w:tabs>
          <w:tab w:val="left" w:pos="2780"/>
          <w:tab w:val="center" w:pos="4153"/>
        </w:tabs>
        <w:spacing w:before="4080" w:after="360" w:line="360" w:lineRule="auto"/>
        <w:rPr>
          <w:rStyle w:val="IntenseReference"/>
          <w:b w:val="0"/>
          <w:bCs w:val="0"/>
          <w:i w:val="0"/>
          <w:smallCaps w:val="0"/>
          <w:color w:val="404040" w:themeColor="text1" w:themeTint="BF"/>
          <w:spacing w:val="0"/>
          <w:sz w:val="28"/>
          <w:szCs w:val="28"/>
        </w:rPr>
      </w:pPr>
      <w:r>
        <w:rPr>
          <w:rStyle w:val="IntenseReference"/>
          <w:b w:val="0"/>
          <w:bCs w:val="0"/>
          <w:i w:val="0"/>
          <w:smallCaps w:val="0"/>
          <w:color w:val="404040" w:themeColor="text1" w:themeTint="BF"/>
          <w:spacing w:val="0"/>
          <w:sz w:val="28"/>
          <w:szCs w:val="28"/>
        </w:rPr>
        <w:tab/>
      </w:r>
      <w:r>
        <w:rPr>
          <w:rStyle w:val="IntenseReference"/>
          <w:b w:val="0"/>
          <w:bCs w:val="0"/>
          <w:i w:val="0"/>
          <w:smallCaps w:val="0"/>
          <w:color w:val="404040" w:themeColor="text1" w:themeTint="BF"/>
          <w:spacing w:val="0"/>
          <w:sz w:val="28"/>
          <w:szCs w:val="28"/>
        </w:rPr>
        <w:tab/>
      </w:r>
      <w:r w:rsidR="00EC3ECD" w:rsidRPr="009A6D30">
        <w:rPr>
          <w:rStyle w:val="IntenseReference"/>
          <w:b w:val="0"/>
          <w:bCs w:val="0"/>
          <w:i w:val="0"/>
          <w:smallCaps w:val="0"/>
          <w:color w:val="404040" w:themeColor="text1" w:themeTint="BF"/>
          <w:spacing w:val="0"/>
          <w:sz w:val="28"/>
          <w:szCs w:val="28"/>
        </w:rPr>
        <w:t>By</w:t>
      </w:r>
    </w:p>
    <w:p w:rsidR="00EC3ECD" w:rsidRPr="009A6D30" w:rsidRDefault="00281DE8" w:rsidP="001B514C">
      <w:pPr>
        <w:spacing w:after="360" w:line="360" w:lineRule="auto"/>
        <w:jc w:val="center"/>
        <w:rPr>
          <w:rStyle w:val="IntenseReference"/>
          <w:b w:val="0"/>
          <w:bCs w:val="0"/>
          <w:i w:val="0"/>
          <w:smallCaps w:val="0"/>
          <w:color w:val="404040" w:themeColor="text1" w:themeTint="BF"/>
          <w:spacing w:val="0"/>
          <w:sz w:val="28"/>
          <w:szCs w:val="28"/>
        </w:rPr>
      </w:pPr>
      <w:r w:rsidRPr="009A6D30">
        <w:rPr>
          <w:rStyle w:val="IntenseReference"/>
          <w:b w:val="0"/>
          <w:bCs w:val="0"/>
          <w:i w:val="0"/>
          <w:smallCaps w:val="0"/>
          <w:color w:val="404040" w:themeColor="text1" w:themeTint="BF"/>
          <w:spacing w:val="0"/>
          <w:sz w:val="28"/>
          <w:szCs w:val="28"/>
        </w:rPr>
        <w:t xml:space="preserve">Garrett Parker </w:t>
      </w:r>
      <w:r w:rsidR="00EC3ECD" w:rsidRPr="009A6D30">
        <w:rPr>
          <w:rStyle w:val="IntenseReference"/>
          <w:b w:val="0"/>
          <w:bCs w:val="0"/>
          <w:i w:val="0"/>
          <w:smallCaps w:val="0"/>
          <w:color w:val="404040" w:themeColor="text1" w:themeTint="BF"/>
          <w:spacing w:val="0"/>
          <w:sz w:val="28"/>
          <w:szCs w:val="28"/>
        </w:rPr>
        <w:t xml:space="preserve">and </w:t>
      </w:r>
      <w:r w:rsidR="00270839" w:rsidRPr="009A6D30">
        <w:rPr>
          <w:rStyle w:val="IntenseReference"/>
          <w:b w:val="0"/>
          <w:bCs w:val="0"/>
          <w:i w:val="0"/>
          <w:smallCaps w:val="0"/>
          <w:color w:val="404040" w:themeColor="text1" w:themeTint="BF"/>
          <w:spacing w:val="0"/>
          <w:sz w:val="28"/>
          <w:szCs w:val="28"/>
        </w:rPr>
        <w:t>Rebecca Frith</w:t>
      </w:r>
    </w:p>
    <w:p w:rsidR="00EC3ECD" w:rsidRPr="009A6D30" w:rsidRDefault="00C13AF8" w:rsidP="005E6F16">
      <w:pPr>
        <w:spacing w:before="240" w:line="720" w:lineRule="auto"/>
        <w:jc w:val="center"/>
        <w:rPr>
          <w:rStyle w:val="IntenseReference"/>
          <w:b w:val="0"/>
          <w:bCs w:val="0"/>
          <w:i w:val="0"/>
          <w:smallCaps w:val="0"/>
          <w:color w:val="auto"/>
          <w:spacing w:val="0"/>
        </w:rPr>
        <w:sectPr w:rsidR="00EC3ECD" w:rsidRPr="009A6D30">
          <w:headerReference w:type="default" r:id="rId9"/>
          <w:footerReference w:type="default" r:id="rId10"/>
          <w:pgSz w:w="11906" w:h="16838"/>
          <w:pgMar w:top="1440" w:right="1800" w:bottom="1440" w:left="1800" w:header="708" w:footer="708" w:gutter="0"/>
          <w:cols w:space="708"/>
          <w:docGrid w:linePitch="360"/>
        </w:sectPr>
      </w:pPr>
      <w:r w:rsidRPr="009A6D30">
        <w:rPr>
          <w:rStyle w:val="IntenseReference"/>
          <w:b w:val="0"/>
          <w:bCs w:val="0"/>
          <w:i w:val="0"/>
          <w:smallCaps w:val="0"/>
          <w:color w:val="595959" w:themeColor="text1" w:themeTint="A6"/>
          <w:spacing w:val="0"/>
          <w:sz w:val="28"/>
          <w:szCs w:val="28"/>
        </w:rPr>
        <w:t>October</w:t>
      </w:r>
      <w:r w:rsidR="00EC3ECD" w:rsidRPr="009A6D30">
        <w:rPr>
          <w:rStyle w:val="IntenseReference"/>
          <w:b w:val="0"/>
          <w:bCs w:val="0"/>
          <w:i w:val="0"/>
          <w:smallCaps w:val="0"/>
          <w:color w:val="595959" w:themeColor="text1" w:themeTint="A6"/>
          <w:spacing w:val="0"/>
          <w:sz w:val="28"/>
          <w:szCs w:val="28"/>
        </w:rPr>
        <w:t xml:space="preserve"> 2015</w:t>
      </w:r>
      <w:r w:rsidR="00EC3ECD" w:rsidRPr="009A6D30">
        <w:rPr>
          <w:rStyle w:val="IntenseReference"/>
          <w:b w:val="0"/>
          <w:bCs w:val="0"/>
          <w:i w:val="0"/>
          <w:smallCaps w:val="0"/>
          <w:color w:val="auto"/>
          <w:spacing w:val="0"/>
        </w:rPr>
        <w:br w:type="page"/>
      </w:r>
    </w:p>
    <w:p w:rsidR="00EC3ECD" w:rsidRPr="009643F5" w:rsidRDefault="009643F5" w:rsidP="0063406F">
      <w:pPr>
        <w:spacing w:before="4680" w:after="480"/>
        <w:jc w:val="center"/>
        <w:rPr>
          <w:rStyle w:val="IntenseReference"/>
          <w:b w:val="0"/>
          <w:bCs w:val="0"/>
          <w:i w:val="0"/>
          <w:smallCaps w:val="0"/>
          <w:color w:val="595959" w:themeColor="text1" w:themeTint="A6"/>
          <w:spacing w:val="0"/>
          <w:sz w:val="28"/>
          <w:szCs w:val="28"/>
        </w:rPr>
      </w:pPr>
      <w:r w:rsidRPr="009643F5">
        <w:rPr>
          <w:rStyle w:val="IntenseReference"/>
          <w:b w:val="0"/>
          <w:bCs w:val="0"/>
          <w:i w:val="0"/>
          <w:smallCaps w:val="0"/>
          <w:color w:val="595959" w:themeColor="text1" w:themeTint="A6"/>
          <w:spacing w:val="0"/>
          <w:sz w:val="28"/>
          <w:szCs w:val="28"/>
        </w:rPr>
        <w:lastRenderedPageBreak/>
        <w:t>Report prepared by:</w:t>
      </w:r>
    </w:p>
    <w:p w:rsidR="009643F5" w:rsidRPr="00EE2A31" w:rsidRDefault="009643F5" w:rsidP="009643F5">
      <w:pPr>
        <w:spacing w:after="300"/>
        <w:jc w:val="center"/>
        <w:rPr>
          <w:rStyle w:val="IntenseReference"/>
          <w:bCs w:val="0"/>
          <w:i w:val="0"/>
          <w:smallCaps w:val="0"/>
          <w:color w:val="000000" w:themeColor="text1"/>
          <w:spacing w:val="0"/>
          <w:sz w:val="28"/>
          <w:szCs w:val="28"/>
        </w:rPr>
      </w:pPr>
      <w:r w:rsidRPr="00EE2A31">
        <w:rPr>
          <w:rStyle w:val="IntenseReference"/>
          <w:bCs w:val="0"/>
          <w:i w:val="0"/>
          <w:smallCaps w:val="0"/>
          <w:color w:val="000000" w:themeColor="text1"/>
          <w:spacing w:val="0"/>
          <w:sz w:val="28"/>
          <w:szCs w:val="28"/>
        </w:rPr>
        <w:t>Pollinate Research</w:t>
      </w:r>
    </w:p>
    <w:p w:rsidR="009643F5" w:rsidRPr="00EE2A31" w:rsidRDefault="009643F5" w:rsidP="004A563A">
      <w:pPr>
        <w:spacing w:after="240"/>
        <w:jc w:val="center"/>
        <w:rPr>
          <w:rStyle w:val="IntenseReference"/>
          <w:b w:val="0"/>
          <w:bCs w:val="0"/>
          <w:i w:val="0"/>
          <w:smallCaps w:val="0"/>
          <w:color w:val="000000" w:themeColor="text1"/>
          <w:spacing w:val="0"/>
          <w:sz w:val="28"/>
          <w:szCs w:val="28"/>
        </w:rPr>
      </w:pPr>
      <w:r w:rsidRPr="00EE2A31">
        <w:rPr>
          <w:rStyle w:val="IntenseReference"/>
          <w:b w:val="0"/>
          <w:bCs w:val="0"/>
          <w:i w:val="0"/>
          <w:smallCaps w:val="0"/>
          <w:color w:val="000000" w:themeColor="text1"/>
          <w:spacing w:val="0"/>
          <w:sz w:val="28"/>
          <w:szCs w:val="28"/>
        </w:rPr>
        <w:t>Level 6, 8 Hill Street</w:t>
      </w:r>
    </w:p>
    <w:p w:rsidR="009643F5" w:rsidRPr="00EE2A31" w:rsidRDefault="00765A5C" w:rsidP="004A563A">
      <w:pPr>
        <w:spacing w:after="240"/>
        <w:jc w:val="center"/>
        <w:rPr>
          <w:rStyle w:val="IntenseReference"/>
          <w:b w:val="0"/>
          <w:bCs w:val="0"/>
          <w:i w:val="0"/>
          <w:smallCaps w:val="0"/>
          <w:color w:val="000000" w:themeColor="text1"/>
          <w:spacing w:val="0"/>
          <w:sz w:val="28"/>
          <w:szCs w:val="28"/>
        </w:rPr>
      </w:pPr>
      <w:r w:rsidRPr="00EE2A31">
        <w:rPr>
          <w:rStyle w:val="IntenseReference"/>
          <w:b w:val="0"/>
          <w:bCs w:val="0"/>
          <w:i w:val="0"/>
          <w:smallCaps w:val="0"/>
          <w:color w:val="000000" w:themeColor="text1"/>
          <w:spacing w:val="0"/>
          <w:sz w:val="28"/>
          <w:szCs w:val="28"/>
        </w:rPr>
        <w:t>Surry Hills, NSW</w:t>
      </w:r>
      <w:r w:rsidR="009643F5" w:rsidRPr="00EE2A31">
        <w:rPr>
          <w:rStyle w:val="IntenseReference"/>
          <w:b w:val="0"/>
          <w:bCs w:val="0"/>
          <w:i w:val="0"/>
          <w:smallCaps w:val="0"/>
          <w:color w:val="000000" w:themeColor="text1"/>
          <w:spacing w:val="0"/>
          <w:sz w:val="28"/>
          <w:szCs w:val="28"/>
        </w:rPr>
        <w:t xml:space="preserve"> 2010</w:t>
      </w:r>
    </w:p>
    <w:p w:rsidR="00ED3EF1" w:rsidRPr="00B173A2" w:rsidRDefault="00690F8B" w:rsidP="004A563A">
      <w:pPr>
        <w:spacing w:after="360"/>
        <w:jc w:val="center"/>
        <w:rPr>
          <w:rStyle w:val="IntenseReference"/>
          <w:b w:val="0"/>
          <w:bCs w:val="0"/>
          <w:i w:val="0"/>
          <w:smallCaps w:val="0"/>
          <w:color w:val="C45D08"/>
          <w:spacing w:val="0"/>
          <w:sz w:val="28"/>
          <w:szCs w:val="28"/>
        </w:rPr>
      </w:pPr>
      <w:hyperlink r:id="rId11" w:history="1">
        <w:r w:rsidR="009643F5" w:rsidRPr="00B173A2">
          <w:rPr>
            <w:rStyle w:val="Hyperlink"/>
            <w:color w:val="C45D08"/>
            <w:sz w:val="28"/>
            <w:szCs w:val="28"/>
          </w:rPr>
          <w:t>www.pollinate.com.au</w:t>
        </w:r>
      </w:hyperlink>
    </w:p>
    <w:p w:rsidR="009A6D30" w:rsidRDefault="009A6D30">
      <w:pPr>
        <w:spacing w:after="0" w:line="240" w:lineRule="auto"/>
        <w:rPr>
          <w:rStyle w:val="IntenseReference"/>
          <w:b w:val="0"/>
          <w:bCs w:val="0"/>
          <w:i w:val="0"/>
          <w:smallCaps w:val="0"/>
          <w:color w:val="auto"/>
          <w:spacing w:val="0"/>
          <w:sz w:val="28"/>
          <w:szCs w:val="28"/>
        </w:rPr>
      </w:pPr>
      <w:r>
        <w:rPr>
          <w:rStyle w:val="IntenseReference"/>
          <w:b w:val="0"/>
          <w:bCs w:val="0"/>
          <w:i w:val="0"/>
          <w:smallCaps w:val="0"/>
          <w:color w:val="auto"/>
          <w:spacing w:val="0"/>
          <w:sz w:val="28"/>
          <w:szCs w:val="28"/>
        </w:rPr>
        <w:br w:type="page"/>
      </w:r>
    </w:p>
    <w:p w:rsidR="00ED3EF1" w:rsidRDefault="00ED3EF1" w:rsidP="009643F5">
      <w:pPr>
        <w:spacing w:after="360"/>
        <w:jc w:val="center"/>
        <w:rPr>
          <w:rStyle w:val="IntenseReference"/>
          <w:b w:val="0"/>
          <w:bCs w:val="0"/>
          <w:i w:val="0"/>
          <w:smallCaps w:val="0"/>
          <w:color w:val="auto"/>
          <w:spacing w:val="0"/>
          <w:sz w:val="28"/>
          <w:szCs w:val="28"/>
        </w:rPr>
        <w:sectPr w:rsidR="00ED3EF1">
          <w:headerReference w:type="default" r:id="rId12"/>
          <w:footerReference w:type="default" r:id="rId13"/>
          <w:pgSz w:w="11906" w:h="16838"/>
          <w:pgMar w:top="1440" w:right="1800" w:bottom="1440" w:left="1800" w:header="708" w:footer="708" w:gutter="0"/>
          <w:cols w:space="708"/>
          <w:docGrid w:linePitch="360"/>
        </w:sectPr>
      </w:pPr>
    </w:p>
    <w:bookmarkStart w:id="0" w:name="_Toc435088750" w:displacedByCustomXml="next"/>
    <w:sdt>
      <w:sdtPr>
        <w:rPr>
          <w:rFonts w:cs="Times New Roman"/>
          <w:b/>
          <w:i/>
          <w:smallCaps/>
          <w:color w:val="auto"/>
          <w:spacing w:val="5"/>
          <w:kern w:val="0"/>
          <w:sz w:val="22"/>
          <w:szCs w:val="24"/>
          <w:u w:val="none"/>
        </w:rPr>
        <w:id w:val="2016648524"/>
        <w:docPartObj>
          <w:docPartGallery w:val="Table of Contents"/>
          <w:docPartUnique/>
        </w:docPartObj>
      </w:sdtPr>
      <w:sdtEndPr>
        <w:rPr>
          <w:bCs w:val="0"/>
          <w:noProof/>
        </w:rPr>
      </w:sdtEndPr>
      <w:sdtContent>
        <w:p w:rsidR="00E37518" w:rsidRPr="00530561" w:rsidRDefault="00B53731" w:rsidP="009A6D30">
          <w:pPr>
            <w:pStyle w:val="Heading1"/>
          </w:pPr>
          <w:r w:rsidRPr="00530561">
            <w:t>Contents</w:t>
          </w:r>
          <w:bookmarkEnd w:id="0"/>
        </w:p>
        <w:p w:rsidR="00B173A2" w:rsidRDefault="00E37518">
          <w:pPr>
            <w:pStyle w:val="TOC1"/>
            <w:rPr>
              <w:rFonts w:asciiTheme="minorHAnsi" w:eastAsiaTheme="minorEastAsia" w:hAnsiTheme="minorHAnsi" w:cstheme="minorBidi"/>
              <w:noProof/>
              <w:szCs w:val="22"/>
              <w:lang w:eastAsia="en-AU"/>
            </w:rPr>
          </w:pPr>
          <w:r w:rsidRPr="00D5583F">
            <w:fldChar w:fldCharType="begin"/>
          </w:r>
          <w:r w:rsidRPr="00D5583F">
            <w:instrText xml:space="preserve"> TOC \o "1-3" \h \z \u </w:instrText>
          </w:r>
          <w:r w:rsidRPr="00D5583F">
            <w:fldChar w:fldCharType="separate"/>
          </w:r>
          <w:hyperlink w:anchor="_Toc435088750" w:history="1">
            <w:r w:rsidR="00B173A2" w:rsidRPr="00AE1AD9">
              <w:rPr>
                <w:rStyle w:val="Hyperlink"/>
                <w:noProof/>
              </w:rPr>
              <w:t>CONTENTS</w:t>
            </w:r>
            <w:r w:rsidR="00B173A2">
              <w:rPr>
                <w:noProof/>
                <w:webHidden/>
              </w:rPr>
              <w:tab/>
            </w:r>
            <w:r w:rsidR="00B173A2">
              <w:rPr>
                <w:noProof/>
                <w:webHidden/>
              </w:rPr>
              <w:fldChar w:fldCharType="begin"/>
            </w:r>
            <w:r w:rsidR="00B173A2">
              <w:rPr>
                <w:noProof/>
                <w:webHidden/>
              </w:rPr>
              <w:instrText xml:space="preserve"> PAGEREF _Toc435088750 \h </w:instrText>
            </w:r>
            <w:r w:rsidR="00B173A2">
              <w:rPr>
                <w:noProof/>
                <w:webHidden/>
              </w:rPr>
            </w:r>
            <w:r w:rsidR="00B173A2">
              <w:rPr>
                <w:noProof/>
                <w:webHidden/>
              </w:rPr>
              <w:fldChar w:fldCharType="separate"/>
            </w:r>
            <w:r w:rsidR="005F2E92">
              <w:rPr>
                <w:noProof/>
                <w:webHidden/>
              </w:rPr>
              <w:t>2</w:t>
            </w:r>
            <w:r w:rsidR="00B173A2">
              <w:rPr>
                <w:noProof/>
                <w:webHidden/>
              </w:rPr>
              <w:fldChar w:fldCharType="end"/>
            </w:r>
          </w:hyperlink>
        </w:p>
        <w:p w:rsidR="00B173A2" w:rsidRDefault="00690F8B" w:rsidP="00886C5B">
          <w:pPr>
            <w:pStyle w:val="TOC2"/>
            <w:rPr>
              <w:rFonts w:asciiTheme="minorHAnsi" w:eastAsiaTheme="minorEastAsia" w:hAnsiTheme="minorHAnsi" w:cstheme="minorBidi"/>
              <w:noProof/>
              <w:szCs w:val="22"/>
              <w:lang w:eastAsia="en-AU"/>
            </w:rPr>
          </w:pPr>
          <w:hyperlink w:anchor="_Toc435088751" w:history="1">
            <w:r w:rsidR="00B173A2" w:rsidRPr="00AE1AD9">
              <w:rPr>
                <w:rStyle w:val="Hyperlink"/>
                <w:noProof/>
              </w:rPr>
              <w:t>EXECUTIVE SUMMARY</w:t>
            </w:r>
            <w:r w:rsidR="00B173A2">
              <w:rPr>
                <w:noProof/>
                <w:webHidden/>
              </w:rPr>
              <w:tab/>
            </w:r>
            <w:r w:rsidR="00B173A2">
              <w:rPr>
                <w:noProof/>
                <w:webHidden/>
              </w:rPr>
              <w:fldChar w:fldCharType="begin"/>
            </w:r>
            <w:r w:rsidR="00B173A2">
              <w:rPr>
                <w:noProof/>
                <w:webHidden/>
              </w:rPr>
              <w:instrText xml:space="preserve"> PAGEREF _Toc435088751 \h </w:instrText>
            </w:r>
            <w:r w:rsidR="00B173A2">
              <w:rPr>
                <w:noProof/>
                <w:webHidden/>
              </w:rPr>
            </w:r>
            <w:r w:rsidR="00B173A2">
              <w:rPr>
                <w:noProof/>
                <w:webHidden/>
              </w:rPr>
              <w:fldChar w:fldCharType="separate"/>
            </w:r>
            <w:r w:rsidR="005F2E92">
              <w:rPr>
                <w:noProof/>
                <w:webHidden/>
              </w:rPr>
              <w:t>3</w:t>
            </w:r>
            <w:r w:rsidR="00B173A2">
              <w:rPr>
                <w:noProof/>
                <w:webHidden/>
              </w:rPr>
              <w:fldChar w:fldCharType="end"/>
            </w:r>
          </w:hyperlink>
        </w:p>
        <w:p w:rsidR="00B173A2" w:rsidRDefault="00690F8B">
          <w:pPr>
            <w:pStyle w:val="TOC1"/>
            <w:rPr>
              <w:rFonts w:asciiTheme="minorHAnsi" w:eastAsiaTheme="minorEastAsia" w:hAnsiTheme="minorHAnsi" w:cstheme="minorBidi"/>
              <w:noProof/>
              <w:szCs w:val="22"/>
              <w:lang w:eastAsia="en-AU"/>
            </w:rPr>
          </w:pPr>
          <w:hyperlink w:anchor="_Toc435088752" w:history="1">
            <w:r w:rsidR="00B173A2" w:rsidRPr="00AE1AD9">
              <w:rPr>
                <w:rStyle w:val="Hyperlink"/>
                <w:noProof/>
              </w:rPr>
              <w:t>KEY FINDINGS AND RESULTS</w:t>
            </w:r>
            <w:r w:rsidR="00B173A2">
              <w:rPr>
                <w:noProof/>
                <w:webHidden/>
              </w:rPr>
              <w:tab/>
            </w:r>
            <w:r w:rsidR="00B173A2">
              <w:rPr>
                <w:noProof/>
                <w:webHidden/>
              </w:rPr>
              <w:fldChar w:fldCharType="begin"/>
            </w:r>
            <w:r w:rsidR="00B173A2">
              <w:rPr>
                <w:noProof/>
                <w:webHidden/>
              </w:rPr>
              <w:instrText xml:space="preserve"> PAGEREF _Toc435088752 \h </w:instrText>
            </w:r>
            <w:r w:rsidR="00B173A2">
              <w:rPr>
                <w:noProof/>
                <w:webHidden/>
              </w:rPr>
            </w:r>
            <w:r w:rsidR="00B173A2">
              <w:rPr>
                <w:noProof/>
                <w:webHidden/>
              </w:rPr>
              <w:fldChar w:fldCharType="separate"/>
            </w:r>
            <w:r w:rsidR="005F2E92">
              <w:rPr>
                <w:noProof/>
                <w:webHidden/>
              </w:rPr>
              <w:t>6</w:t>
            </w:r>
            <w:r w:rsidR="00B173A2">
              <w:rPr>
                <w:noProof/>
                <w:webHidden/>
              </w:rPr>
              <w:fldChar w:fldCharType="end"/>
            </w:r>
          </w:hyperlink>
        </w:p>
        <w:p w:rsidR="00B173A2" w:rsidRDefault="00690F8B" w:rsidP="00886C5B">
          <w:pPr>
            <w:pStyle w:val="TOC2"/>
            <w:rPr>
              <w:rFonts w:asciiTheme="minorHAnsi" w:eastAsiaTheme="minorEastAsia" w:hAnsiTheme="minorHAnsi" w:cstheme="minorBidi"/>
              <w:noProof/>
              <w:szCs w:val="22"/>
              <w:lang w:eastAsia="en-AU"/>
            </w:rPr>
          </w:pPr>
          <w:hyperlink w:anchor="_Toc435088753" w:history="1">
            <w:r w:rsidR="00B173A2" w:rsidRPr="00AE1AD9">
              <w:rPr>
                <w:rStyle w:val="Hyperlink"/>
                <w:noProof/>
              </w:rPr>
              <w:t>The Health Star Rating System</w:t>
            </w:r>
            <w:r w:rsidR="00B173A2">
              <w:rPr>
                <w:noProof/>
                <w:webHidden/>
              </w:rPr>
              <w:tab/>
            </w:r>
            <w:r w:rsidR="00B173A2">
              <w:rPr>
                <w:noProof/>
                <w:webHidden/>
              </w:rPr>
              <w:fldChar w:fldCharType="begin"/>
            </w:r>
            <w:r w:rsidR="00B173A2">
              <w:rPr>
                <w:noProof/>
                <w:webHidden/>
              </w:rPr>
              <w:instrText xml:space="preserve"> PAGEREF _Toc435088753 \h </w:instrText>
            </w:r>
            <w:r w:rsidR="00B173A2">
              <w:rPr>
                <w:noProof/>
                <w:webHidden/>
              </w:rPr>
            </w:r>
            <w:r w:rsidR="00B173A2">
              <w:rPr>
                <w:noProof/>
                <w:webHidden/>
              </w:rPr>
              <w:fldChar w:fldCharType="separate"/>
            </w:r>
            <w:r w:rsidR="005F2E92">
              <w:rPr>
                <w:noProof/>
                <w:webHidden/>
              </w:rPr>
              <w:t>6</w:t>
            </w:r>
            <w:r w:rsidR="00B173A2">
              <w:rPr>
                <w:noProof/>
                <w:webHidden/>
              </w:rPr>
              <w:fldChar w:fldCharType="end"/>
            </w:r>
          </w:hyperlink>
        </w:p>
        <w:p w:rsidR="00B173A2" w:rsidRDefault="00690F8B" w:rsidP="00886C5B">
          <w:pPr>
            <w:pStyle w:val="TOC2"/>
            <w:rPr>
              <w:rFonts w:asciiTheme="minorHAnsi" w:eastAsiaTheme="minorEastAsia" w:hAnsiTheme="minorHAnsi" w:cstheme="minorBidi"/>
              <w:noProof/>
              <w:szCs w:val="22"/>
              <w:lang w:eastAsia="en-AU"/>
            </w:rPr>
          </w:pPr>
          <w:hyperlink w:anchor="_Toc435088754" w:history="1">
            <w:r w:rsidR="00B173A2" w:rsidRPr="00AE1AD9">
              <w:rPr>
                <w:rStyle w:val="Hyperlink"/>
                <w:noProof/>
              </w:rPr>
              <w:t>The Campaign</w:t>
            </w:r>
            <w:r w:rsidR="00B173A2">
              <w:rPr>
                <w:noProof/>
                <w:webHidden/>
              </w:rPr>
              <w:tab/>
            </w:r>
            <w:r w:rsidR="00B173A2">
              <w:rPr>
                <w:noProof/>
                <w:webHidden/>
              </w:rPr>
              <w:fldChar w:fldCharType="begin"/>
            </w:r>
            <w:r w:rsidR="00B173A2">
              <w:rPr>
                <w:noProof/>
                <w:webHidden/>
              </w:rPr>
              <w:instrText xml:space="preserve"> PAGEREF _Toc435088754 \h </w:instrText>
            </w:r>
            <w:r w:rsidR="00B173A2">
              <w:rPr>
                <w:noProof/>
                <w:webHidden/>
              </w:rPr>
            </w:r>
            <w:r w:rsidR="00B173A2">
              <w:rPr>
                <w:noProof/>
                <w:webHidden/>
              </w:rPr>
              <w:fldChar w:fldCharType="separate"/>
            </w:r>
            <w:r w:rsidR="005F2E92">
              <w:rPr>
                <w:noProof/>
                <w:webHidden/>
              </w:rPr>
              <w:t>6</w:t>
            </w:r>
            <w:r w:rsidR="00B173A2">
              <w:rPr>
                <w:noProof/>
                <w:webHidden/>
              </w:rPr>
              <w:fldChar w:fldCharType="end"/>
            </w:r>
          </w:hyperlink>
        </w:p>
        <w:p w:rsidR="00B173A2" w:rsidRDefault="00690F8B">
          <w:pPr>
            <w:pStyle w:val="TOC1"/>
            <w:rPr>
              <w:rFonts w:asciiTheme="minorHAnsi" w:eastAsiaTheme="minorEastAsia" w:hAnsiTheme="minorHAnsi" w:cstheme="minorBidi"/>
              <w:noProof/>
              <w:szCs w:val="22"/>
              <w:lang w:eastAsia="en-AU"/>
            </w:rPr>
          </w:pPr>
          <w:hyperlink w:anchor="_Toc435088755" w:history="1">
            <w:r w:rsidR="00B173A2" w:rsidRPr="00AE1AD9">
              <w:rPr>
                <w:rStyle w:val="Hyperlink"/>
                <w:noProof/>
              </w:rPr>
              <w:t>RESEARCH BACKGROUND &amp; OBJECTIVES</w:t>
            </w:r>
            <w:r w:rsidR="00B173A2">
              <w:rPr>
                <w:noProof/>
                <w:webHidden/>
              </w:rPr>
              <w:tab/>
            </w:r>
            <w:r w:rsidR="00B173A2">
              <w:rPr>
                <w:noProof/>
                <w:webHidden/>
              </w:rPr>
              <w:fldChar w:fldCharType="begin"/>
            </w:r>
            <w:r w:rsidR="00B173A2">
              <w:rPr>
                <w:noProof/>
                <w:webHidden/>
              </w:rPr>
              <w:instrText xml:space="preserve"> PAGEREF _Toc435088755 \h </w:instrText>
            </w:r>
            <w:r w:rsidR="00B173A2">
              <w:rPr>
                <w:noProof/>
                <w:webHidden/>
              </w:rPr>
            </w:r>
            <w:r w:rsidR="00B173A2">
              <w:rPr>
                <w:noProof/>
                <w:webHidden/>
              </w:rPr>
              <w:fldChar w:fldCharType="separate"/>
            </w:r>
            <w:r w:rsidR="005F2E92">
              <w:rPr>
                <w:noProof/>
                <w:webHidden/>
              </w:rPr>
              <w:t>8</w:t>
            </w:r>
            <w:r w:rsidR="00B173A2">
              <w:rPr>
                <w:noProof/>
                <w:webHidden/>
              </w:rPr>
              <w:fldChar w:fldCharType="end"/>
            </w:r>
          </w:hyperlink>
        </w:p>
        <w:p w:rsidR="00B173A2" w:rsidRDefault="00690F8B" w:rsidP="00886C5B">
          <w:pPr>
            <w:pStyle w:val="TOC2"/>
            <w:rPr>
              <w:rFonts w:asciiTheme="minorHAnsi" w:eastAsiaTheme="minorEastAsia" w:hAnsiTheme="minorHAnsi" w:cstheme="minorBidi"/>
              <w:noProof/>
              <w:szCs w:val="22"/>
              <w:lang w:eastAsia="en-AU"/>
            </w:rPr>
          </w:pPr>
          <w:hyperlink w:anchor="_Toc435088756" w:history="1">
            <w:r w:rsidR="00B173A2" w:rsidRPr="00AE1AD9">
              <w:rPr>
                <w:rStyle w:val="Hyperlink"/>
                <w:noProof/>
              </w:rPr>
              <w:t>Background</w:t>
            </w:r>
            <w:r w:rsidR="00B173A2">
              <w:rPr>
                <w:noProof/>
                <w:webHidden/>
              </w:rPr>
              <w:tab/>
            </w:r>
            <w:r w:rsidR="00B173A2">
              <w:rPr>
                <w:noProof/>
                <w:webHidden/>
              </w:rPr>
              <w:fldChar w:fldCharType="begin"/>
            </w:r>
            <w:r w:rsidR="00B173A2">
              <w:rPr>
                <w:noProof/>
                <w:webHidden/>
              </w:rPr>
              <w:instrText xml:space="preserve"> PAGEREF _Toc435088756 \h </w:instrText>
            </w:r>
            <w:r w:rsidR="00B173A2">
              <w:rPr>
                <w:noProof/>
                <w:webHidden/>
              </w:rPr>
            </w:r>
            <w:r w:rsidR="00B173A2">
              <w:rPr>
                <w:noProof/>
                <w:webHidden/>
              </w:rPr>
              <w:fldChar w:fldCharType="separate"/>
            </w:r>
            <w:r w:rsidR="005F2E92">
              <w:rPr>
                <w:noProof/>
                <w:webHidden/>
              </w:rPr>
              <w:t>8</w:t>
            </w:r>
            <w:r w:rsidR="00B173A2">
              <w:rPr>
                <w:noProof/>
                <w:webHidden/>
              </w:rPr>
              <w:fldChar w:fldCharType="end"/>
            </w:r>
          </w:hyperlink>
        </w:p>
        <w:p w:rsidR="00B173A2" w:rsidRDefault="00690F8B" w:rsidP="00886C5B">
          <w:pPr>
            <w:pStyle w:val="TOC2"/>
            <w:rPr>
              <w:rFonts w:asciiTheme="minorHAnsi" w:eastAsiaTheme="minorEastAsia" w:hAnsiTheme="minorHAnsi" w:cstheme="minorBidi"/>
              <w:noProof/>
              <w:szCs w:val="22"/>
              <w:lang w:eastAsia="en-AU"/>
            </w:rPr>
          </w:pPr>
          <w:hyperlink w:anchor="_Toc435088757" w:history="1">
            <w:r w:rsidR="00B173A2" w:rsidRPr="00AE1AD9">
              <w:rPr>
                <w:rStyle w:val="Hyperlink"/>
                <w:noProof/>
              </w:rPr>
              <w:t>Objectives</w:t>
            </w:r>
            <w:r w:rsidR="00B173A2">
              <w:rPr>
                <w:noProof/>
                <w:webHidden/>
              </w:rPr>
              <w:tab/>
            </w:r>
            <w:r w:rsidR="00B173A2">
              <w:rPr>
                <w:noProof/>
                <w:webHidden/>
              </w:rPr>
              <w:fldChar w:fldCharType="begin"/>
            </w:r>
            <w:r w:rsidR="00B173A2">
              <w:rPr>
                <w:noProof/>
                <w:webHidden/>
              </w:rPr>
              <w:instrText xml:space="preserve"> PAGEREF _Toc435088757 \h </w:instrText>
            </w:r>
            <w:r w:rsidR="00B173A2">
              <w:rPr>
                <w:noProof/>
                <w:webHidden/>
              </w:rPr>
            </w:r>
            <w:r w:rsidR="00B173A2">
              <w:rPr>
                <w:noProof/>
                <w:webHidden/>
              </w:rPr>
              <w:fldChar w:fldCharType="separate"/>
            </w:r>
            <w:r w:rsidR="005F2E92">
              <w:rPr>
                <w:noProof/>
                <w:webHidden/>
              </w:rPr>
              <w:t>8</w:t>
            </w:r>
            <w:r w:rsidR="00B173A2">
              <w:rPr>
                <w:noProof/>
                <w:webHidden/>
              </w:rPr>
              <w:fldChar w:fldCharType="end"/>
            </w:r>
          </w:hyperlink>
        </w:p>
        <w:p w:rsidR="00B173A2" w:rsidRDefault="00690F8B">
          <w:pPr>
            <w:pStyle w:val="TOC1"/>
            <w:rPr>
              <w:rFonts w:asciiTheme="minorHAnsi" w:eastAsiaTheme="minorEastAsia" w:hAnsiTheme="minorHAnsi" w:cstheme="minorBidi"/>
              <w:noProof/>
              <w:szCs w:val="22"/>
              <w:lang w:eastAsia="en-AU"/>
            </w:rPr>
          </w:pPr>
          <w:hyperlink w:anchor="_Toc435088758" w:history="1">
            <w:r w:rsidR="00B173A2" w:rsidRPr="00AE1AD9">
              <w:rPr>
                <w:rStyle w:val="Hyperlink"/>
                <w:noProof/>
              </w:rPr>
              <w:t>METHODOLOGY</w:t>
            </w:r>
            <w:r w:rsidR="00B173A2">
              <w:rPr>
                <w:noProof/>
                <w:webHidden/>
              </w:rPr>
              <w:tab/>
            </w:r>
            <w:r w:rsidR="00B173A2">
              <w:rPr>
                <w:noProof/>
                <w:webHidden/>
              </w:rPr>
              <w:fldChar w:fldCharType="begin"/>
            </w:r>
            <w:r w:rsidR="00B173A2">
              <w:rPr>
                <w:noProof/>
                <w:webHidden/>
              </w:rPr>
              <w:instrText xml:space="preserve"> PAGEREF _Toc435088758 \h </w:instrText>
            </w:r>
            <w:r w:rsidR="00B173A2">
              <w:rPr>
                <w:noProof/>
                <w:webHidden/>
              </w:rPr>
            </w:r>
            <w:r w:rsidR="00B173A2">
              <w:rPr>
                <w:noProof/>
                <w:webHidden/>
              </w:rPr>
              <w:fldChar w:fldCharType="separate"/>
            </w:r>
            <w:r w:rsidR="005F2E92">
              <w:rPr>
                <w:noProof/>
                <w:webHidden/>
              </w:rPr>
              <w:t>9</w:t>
            </w:r>
            <w:r w:rsidR="00B173A2">
              <w:rPr>
                <w:noProof/>
                <w:webHidden/>
              </w:rPr>
              <w:fldChar w:fldCharType="end"/>
            </w:r>
          </w:hyperlink>
        </w:p>
        <w:p w:rsidR="00B173A2" w:rsidRDefault="00690F8B" w:rsidP="00886C5B">
          <w:pPr>
            <w:pStyle w:val="TOC2"/>
            <w:rPr>
              <w:rFonts w:asciiTheme="minorHAnsi" w:eastAsiaTheme="minorEastAsia" w:hAnsiTheme="minorHAnsi" w:cstheme="minorBidi"/>
              <w:noProof/>
              <w:szCs w:val="22"/>
              <w:lang w:eastAsia="en-AU"/>
            </w:rPr>
          </w:pPr>
          <w:hyperlink w:anchor="_Toc435088759" w:history="1">
            <w:r w:rsidR="00B173A2" w:rsidRPr="00AE1AD9">
              <w:rPr>
                <w:rStyle w:val="Hyperlink"/>
                <w:rFonts w:eastAsiaTheme="majorEastAsia"/>
                <w:noProof/>
              </w:rPr>
              <w:t>Survey</w:t>
            </w:r>
            <w:r w:rsidR="00B173A2">
              <w:rPr>
                <w:noProof/>
                <w:webHidden/>
              </w:rPr>
              <w:tab/>
            </w:r>
            <w:r w:rsidR="00B173A2">
              <w:rPr>
                <w:noProof/>
                <w:webHidden/>
              </w:rPr>
              <w:fldChar w:fldCharType="begin"/>
            </w:r>
            <w:r w:rsidR="00B173A2">
              <w:rPr>
                <w:noProof/>
                <w:webHidden/>
              </w:rPr>
              <w:instrText xml:space="preserve"> PAGEREF _Toc435088759 \h </w:instrText>
            </w:r>
            <w:r w:rsidR="00B173A2">
              <w:rPr>
                <w:noProof/>
                <w:webHidden/>
              </w:rPr>
            </w:r>
            <w:r w:rsidR="00B173A2">
              <w:rPr>
                <w:noProof/>
                <w:webHidden/>
              </w:rPr>
              <w:fldChar w:fldCharType="separate"/>
            </w:r>
            <w:r w:rsidR="005F2E92">
              <w:rPr>
                <w:noProof/>
                <w:webHidden/>
              </w:rPr>
              <w:t>9</w:t>
            </w:r>
            <w:r w:rsidR="00B173A2">
              <w:rPr>
                <w:noProof/>
                <w:webHidden/>
              </w:rPr>
              <w:fldChar w:fldCharType="end"/>
            </w:r>
          </w:hyperlink>
        </w:p>
        <w:p w:rsidR="00B173A2" w:rsidRDefault="00690F8B" w:rsidP="00886C5B">
          <w:pPr>
            <w:pStyle w:val="TOC2"/>
            <w:rPr>
              <w:rFonts w:asciiTheme="minorHAnsi" w:eastAsiaTheme="minorEastAsia" w:hAnsiTheme="minorHAnsi" w:cstheme="minorBidi"/>
              <w:noProof/>
              <w:szCs w:val="22"/>
              <w:lang w:eastAsia="en-AU"/>
            </w:rPr>
          </w:pPr>
          <w:hyperlink w:anchor="_Toc435088760" w:history="1">
            <w:r w:rsidR="00B173A2" w:rsidRPr="00AE1AD9">
              <w:rPr>
                <w:rStyle w:val="Hyperlink"/>
                <w:rFonts w:eastAsiaTheme="majorEastAsia"/>
                <w:noProof/>
              </w:rPr>
              <w:t>Fieldwork dates</w:t>
            </w:r>
            <w:r w:rsidR="00B173A2">
              <w:rPr>
                <w:noProof/>
                <w:webHidden/>
              </w:rPr>
              <w:tab/>
            </w:r>
            <w:r w:rsidR="00B173A2">
              <w:rPr>
                <w:noProof/>
                <w:webHidden/>
              </w:rPr>
              <w:fldChar w:fldCharType="begin"/>
            </w:r>
            <w:r w:rsidR="00B173A2">
              <w:rPr>
                <w:noProof/>
                <w:webHidden/>
              </w:rPr>
              <w:instrText xml:space="preserve"> PAGEREF _Toc435088760 \h </w:instrText>
            </w:r>
            <w:r w:rsidR="00B173A2">
              <w:rPr>
                <w:noProof/>
                <w:webHidden/>
              </w:rPr>
            </w:r>
            <w:r w:rsidR="00B173A2">
              <w:rPr>
                <w:noProof/>
                <w:webHidden/>
              </w:rPr>
              <w:fldChar w:fldCharType="separate"/>
            </w:r>
            <w:r w:rsidR="005F2E92">
              <w:rPr>
                <w:noProof/>
                <w:webHidden/>
              </w:rPr>
              <w:t>9</w:t>
            </w:r>
            <w:r w:rsidR="00B173A2">
              <w:rPr>
                <w:noProof/>
                <w:webHidden/>
              </w:rPr>
              <w:fldChar w:fldCharType="end"/>
            </w:r>
          </w:hyperlink>
        </w:p>
        <w:p w:rsidR="00B173A2" w:rsidRDefault="00690F8B" w:rsidP="00886C5B">
          <w:pPr>
            <w:pStyle w:val="TOC2"/>
            <w:rPr>
              <w:rFonts w:asciiTheme="minorHAnsi" w:eastAsiaTheme="minorEastAsia" w:hAnsiTheme="minorHAnsi" w:cstheme="minorBidi"/>
              <w:noProof/>
              <w:szCs w:val="22"/>
              <w:lang w:eastAsia="en-AU"/>
            </w:rPr>
          </w:pPr>
          <w:hyperlink w:anchor="_Toc435088761" w:history="1">
            <w:r w:rsidR="00B173A2" w:rsidRPr="00AE1AD9">
              <w:rPr>
                <w:rStyle w:val="Hyperlink"/>
                <w:rFonts w:eastAsiaTheme="majorEastAsia"/>
                <w:noProof/>
              </w:rPr>
              <w:t>Sample</w:t>
            </w:r>
            <w:r w:rsidR="00B173A2">
              <w:rPr>
                <w:noProof/>
                <w:webHidden/>
              </w:rPr>
              <w:tab/>
            </w:r>
            <w:r w:rsidR="00B173A2">
              <w:rPr>
                <w:noProof/>
                <w:webHidden/>
              </w:rPr>
              <w:fldChar w:fldCharType="begin"/>
            </w:r>
            <w:r w:rsidR="00B173A2">
              <w:rPr>
                <w:noProof/>
                <w:webHidden/>
              </w:rPr>
              <w:instrText xml:space="preserve"> PAGEREF _Toc435088761 \h </w:instrText>
            </w:r>
            <w:r w:rsidR="00B173A2">
              <w:rPr>
                <w:noProof/>
                <w:webHidden/>
              </w:rPr>
            </w:r>
            <w:r w:rsidR="00B173A2">
              <w:rPr>
                <w:noProof/>
                <w:webHidden/>
              </w:rPr>
              <w:fldChar w:fldCharType="separate"/>
            </w:r>
            <w:r w:rsidR="005F2E92">
              <w:rPr>
                <w:noProof/>
                <w:webHidden/>
              </w:rPr>
              <w:t>9</w:t>
            </w:r>
            <w:r w:rsidR="00B173A2">
              <w:rPr>
                <w:noProof/>
                <w:webHidden/>
              </w:rPr>
              <w:fldChar w:fldCharType="end"/>
            </w:r>
          </w:hyperlink>
        </w:p>
        <w:p w:rsidR="00B173A2" w:rsidRDefault="00690F8B">
          <w:pPr>
            <w:pStyle w:val="TOC1"/>
            <w:rPr>
              <w:rFonts w:asciiTheme="minorHAnsi" w:eastAsiaTheme="minorEastAsia" w:hAnsiTheme="minorHAnsi" w:cstheme="minorBidi"/>
              <w:noProof/>
              <w:szCs w:val="22"/>
              <w:lang w:eastAsia="en-AU"/>
            </w:rPr>
          </w:pPr>
          <w:hyperlink w:anchor="_Toc435088762" w:history="1">
            <w:r w:rsidR="00B173A2" w:rsidRPr="00AE1AD9">
              <w:rPr>
                <w:rStyle w:val="Hyperlink"/>
                <w:noProof/>
              </w:rPr>
              <w:t>AWARENESS AND UNDERSTANDING</w:t>
            </w:r>
            <w:r w:rsidR="00B173A2">
              <w:rPr>
                <w:noProof/>
                <w:webHidden/>
              </w:rPr>
              <w:tab/>
            </w:r>
            <w:r w:rsidR="00B173A2">
              <w:rPr>
                <w:noProof/>
                <w:webHidden/>
              </w:rPr>
              <w:fldChar w:fldCharType="begin"/>
            </w:r>
            <w:r w:rsidR="00B173A2">
              <w:rPr>
                <w:noProof/>
                <w:webHidden/>
              </w:rPr>
              <w:instrText xml:space="preserve"> PAGEREF _Toc435088762 \h </w:instrText>
            </w:r>
            <w:r w:rsidR="00B173A2">
              <w:rPr>
                <w:noProof/>
                <w:webHidden/>
              </w:rPr>
            </w:r>
            <w:r w:rsidR="00B173A2">
              <w:rPr>
                <w:noProof/>
                <w:webHidden/>
              </w:rPr>
              <w:fldChar w:fldCharType="separate"/>
            </w:r>
            <w:r w:rsidR="005F2E92">
              <w:rPr>
                <w:noProof/>
                <w:webHidden/>
              </w:rPr>
              <w:t>11</w:t>
            </w:r>
            <w:r w:rsidR="00B173A2">
              <w:rPr>
                <w:noProof/>
                <w:webHidden/>
              </w:rPr>
              <w:fldChar w:fldCharType="end"/>
            </w:r>
          </w:hyperlink>
        </w:p>
        <w:p w:rsidR="00B173A2" w:rsidRDefault="00690F8B" w:rsidP="00886C5B">
          <w:pPr>
            <w:pStyle w:val="TOC2"/>
            <w:rPr>
              <w:rFonts w:asciiTheme="minorHAnsi" w:eastAsiaTheme="minorEastAsia" w:hAnsiTheme="minorHAnsi" w:cstheme="minorBidi"/>
              <w:noProof/>
              <w:szCs w:val="22"/>
              <w:lang w:eastAsia="en-AU"/>
            </w:rPr>
          </w:pPr>
          <w:hyperlink w:anchor="_Toc435088763" w:history="1">
            <w:r w:rsidR="00B173A2" w:rsidRPr="00AE1AD9">
              <w:rPr>
                <w:rStyle w:val="Hyperlink"/>
                <w:noProof/>
              </w:rPr>
              <w:t>Current awareness and understanding of the Health Star Rating system</w:t>
            </w:r>
            <w:r w:rsidR="00B173A2">
              <w:rPr>
                <w:noProof/>
                <w:webHidden/>
              </w:rPr>
              <w:tab/>
            </w:r>
            <w:r w:rsidR="00B173A2">
              <w:rPr>
                <w:noProof/>
                <w:webHidden/>
              </w:rPr>
              <w:fldChar w:fldCharType="begin"/>
            </w:r>
            <w:r w:rsidR="00B173A2">
              <w:rPr>
                <w:noProof/>
                <w:webHidden/>
              </w:rPr>
              <w:instrText xml:space="preserve"> PAGEREF _Toc435088763 \h </w:instrText>
            </w:r>
            <w:r w:rsidR="00B173A2">
              <w:rPr>
                <w:noProof/>
                <w:webHidden/>
              </w:rPr>
            </w:r>
            <w:r w:rsidR="00B173A2">
              <w:rPr>
                <w:noProof/>
                <w:webHidden/>
              </w:rPr>
              <w:fldChar w:fldCharType="separate"/>
            </w:r>
            <w:r w:rsidR="005F2E92">
              <w:rPr>
                <w:noProof/>
                <w:webHidden/>
              </w:rPr>
              <w:t>11</w:t>
            </w:r>
            <w:r w:rsidR="00B173A2">
              <w:rPr>
                <w:noProof/>
                <w:webHidden/>
              </w:rPr>
              <w:fldChar w:fldCharType="end"/>
            </w:r>
          </w:hyperlink>
        </w:p>
        <w:p w:rsidR="00B173A2" w:rsidRDefault="00690F8B" w:rsidP="00886C5B">
          <w:pPr>
            <w:pStyle w:val="TOC2"/>
            <w:rPr>
              <w:rFonts w:asciiTheme="minorHAnsi" w:eastAsiaTheme="minorEastAsia" w:hAnsiTheme="minorHAnsi" w:cstheme="minorBidi"/>
              <w:noProof/>
              <w:szCs w:val="22"/>
              <w:lang w:eastAsia="en-AU"/>
            </w:rPr>
          </w:pPr>
          <w:hyperlink w:anchor="_Toc435088764" w:history="1">
            <w:r w:rsidR="00B173A2" w:rsidRPr="00AE1AD9">
              <w:rPr>
                <w:rStyle w:val="Hyperlink"/>
                <w:noProof/>
              </w:rPr>
              <w:t>Awareness</w:t>
            </w:r>
            <w:r w:rsidR="00B173A2">
              <w:rPr>
                <w:noProof/>
                <w:webHidden/>
              </w:rPr>
              <w:tab/>
            </w:r>
            <w:r w:rsidR="00B173A2">
              <w:rPr>
                <w:noProof/>
                <w:webHidden/>
              </w:rPr>
              <w:fldChar w:fldCharType="begin"/>
            </w:r>
            <w:r w:rsidR="00B173A2">
              <w:rPr>
                <w:noProof/>
                <w:webHidden/>
              </w:rPr>
              <w:instrText xml:space="preserve"> PAGEREF _Toc435088764 \h </w:instrText>
            </w:r>
            <w:r w:rsidR="00B173A2">
              <w:rPr>
                <w:noProof/>
                <w:webHidden/>
              </w:rPr>
            </w:r>
            <w:r w:rsidR="00B173A2">
              <w:rPr>
                <w:noProof/>
                <w:webHidden/>
              </w:rPr>
              <w:fldChar w:fldCharType="separate"/>
            </w:r>
            <w:r w:rsidR="005F2E92">
              <w:rPr>
                <w:noProof/>
                <w:webHidden/>
              </w:rPr>
              <w:t>11</w:t>
            </w:r>
            <w:r w:rsidR="00B173A2">
              <w:rPr>
                <w:noProof/>
                <w:webHidden/>
              </w:rPr>
              <w:fldChar w:fldCharType="end"/>
            </w:r>
          </w:hyperlink>
        </w:p>
        <w:p w:rsidR="00B173A2" w:rsidRDefault="00690F8B" w:rsidP="00886C5B">
          <w:pPr>
            <w:pStyle w:val="TOC2"/>
            <w:rPr>
              <w:rFonts w:asciiTheme="minorHAnsi" w:eastAsiaTheme="minorEastAsia" w:hAnsiTheme="minorHAnsi" w:cstheme="minorBidi"/>
              <w:noProof/>
              <w:szCs w:val="22"/>
              <w:lang w:eastAsia="en-AU"/>
            </w:rPr>
          </w:pPr>
          <w:hyperlink w:anchor="_Toc435088765" w:history="1">
            <w:r w:rsidR="00B173A2" w:rsidRPr="00AE1AD9">
              <w:rPr>
                <w:rStyle w:val="Hyperlink"/>
                <w:noProof/>
              </w:rPr>
              <w:t>Section summary</w:t>
            </w:r>
            <w:r w:rsidR="00B173A2">
              <w:rPr>
                <w:noProof/>
                <w:webHidden/>
              </w:rPr>
              <w:tab/>
            </w:r>
            <w:r w:rsidR="00B173A2">
              <w:rPr>
                <w:noProof/>
                <w:webHidden/>
              </w:rPr>
              <w:fldChar w:fldCharType="begin"/>
            </w:r>
            <w:r w:rsidR="00B173A2">
              <w:rPr>
                <w:noProof/>
                <w:webHidden/>
              </w:rPr>
              <w:instrText xml:space="preserve"> PAGEREF _Toc435088765 \h </w:instrText>
            </w:r>
            <w:r w:rsidR="00B173A2">
              <w:rPr>
                <w:noProof/>
                <w:webHidden/>
              </w:rPr>
            </w:r>
            <w:r w:rsidR="00B173A2">
              <w:rPr>
                <w:noProof/>
                <w:webHidden/>
              </w:rPr>
              <w:fldChar w:fldCharType="separate"/>
            </w:r>
            <w:r w:rsidR="005F2E92">
              <w:rPr>
                <w:noProof/>
                <w:webHidden/>
              </w:rPr>
              <w:t>17</w:t>
            </w:r>
            <w:r w:rsidR="00B173A2">
              <w:rPr>
                <w:noProof/>
                <w:webHidden/>
              </w:rPr>
              <w:fldChar w:fldCharType="end"/>
            </w:r>
          </w:hyperlink>
        </w:p>
        <w:p w:rsidR="00B173A2" w:rsidRDefault="00690F8B" w:rsidP="00886C5B">
          <w:pPr>
            <w:pStyle w:val="TOC2"/>
            <w:rPr>
              <w:rFonts w:asciiTheme="minorHAnsi" w:eastAsiaTheme="minorEastAsia" w:hAnsiTheme="minorHAnsi" w:cstheme="minorBidi"/>
              <w:noProof/>
              <w:szCs w:val="22"/>
              <w:lang w:eastAsia="en-AU"/>
            </w:rPr>
          </w:pPr>
          <w:hyperlink w:anchor="_Toc435088766" w:history="1">
            <w:r w:rsidR="00B173A2" w:rsidRPr="00AE1AD9">
              <w:rPr>
                <w:rStyle w:val="Hyperlink"/>
                <w:noProof/>
              </w:rPr>
              <w:t>Key Next Step</w:t>
            </w:r>
            <w:r w:rsidR="00B173A2">
              <w:rPr>
                <w:noProof/>
                <w:webHidden/>
              </w:rPr>
              <w:tab/>
            </w:r>
            <w:r w:rsidR="00B173A2">
              <w:rPr>
                <w:noProof/>
                <w:webHidden/>
              </w:rPr>
              <w:fldChar w:fldCharType="begin"/>
            </w:r>
            <w:r w:rsidR="00B173A2">
              <w:rPr>
                <w:noProof/>
                <w:webHidden/>
              </w:rPr>
              <w:instrText xml:space="preserve"> PAGEREF _Toc435088766 \h </w:instrText>
            </w:r>
            <w:r w:rsidR="00B173A2">
              <w:rPr>
                <w:noProof/>
                <w:webHidden/>
              </w:rPr>
            </w:r>
            <w:r w:rsidR="00B173A2">
              <w:rPr>
                <w:noProof/>
                <w:webHidden/>
              </w:rPr>
              <w:fldChar w:fldCharType="separate"/>
            </w:r>
            <w:r w:rsidR="005F2E92">
              <w:rPr>
                <w:noProof/>
                <w:webHidden/>
              </w:rPr>
              <w:t>17</w:t>
            </w:r>
            <w:r w:rsidR="00B173A2">
              <w:rPr>
                <w:noProof/>
                <w:webHidden/>
              </w:rPr>
              <w:fldChar w:fldCharType="end"/>
            </w:r>
          </w:hyperlink>
        </w:p>
        <w:p w:rsidR="00B173A2" w:rsidRDefault="00690F8B">
          <w:pPr>
            <w:pStyle w:val="TOC1"/>
            <w:rPr>
              <w:rFonts w:asciiTheme="minorHAnsi" w:eastAsiaTheme="minorEastAsia" w:hAnsiTheme="minorHAnsi" w:cstheme="minorBidi"/>
              <w:noProof/>
              <w:szCs w:val="22"/>
              <w:lang w:eastAsia="en-AU"/>
            </w:rPr>
          </w:pPr>
          <w:hyperlink w:anchor="_Toc435088767" w:history="1">
            <w:r w:rsidR="00B173A2" w:rsidRPr="00AE1AD9">
              <w:rPr>
                <w:rStyle w:val="Hyperlink"/>
                <w:noProof/>
              </w:rPr>
              <w:t>CAMPAIGN PERFORMANCE</w:t>
            </w:r>
            <w:r w:rsidR="00B173A2">
              <w:rPr>
                <w:noProof/>
                <w:webHidden/>
              </w:rPr>
              <w:tab/>
            </w:r>
            <w:r w:rsidR="00B173A2">
              <w:rPr>
                <w:noProof/>
                <w:webHidden/>
              </w:rPr>
              <w:fldChar w:fldCharType="begin"/>
            </w:r>
            <w:r w:rsidR="00B173A2">
              <w:rPr>
                <w:noProof/>
                <w:webHidden/>
              </w:rPr>
              <w:instrText xml:space="preserve"> PAGEREF _Toc435088767 \h </w:instrText>
            </w:r>
            <w:r w:rsidR="00B173A2">
              <w:rPr>
                <w:noProof/>
                <w:webHidden/>
              </w:rPr>
            </w:r>
            <w:r w:rsidR="00B173A2">
              <w:rPr>
                <w:noProof/>
                <w:webHidden/>
              </w:rPr>
              <w:fldChar w:fldCharType="separate"/>
            </w:r>
            <w:r w:rsidR="005F2E92">
              <w:rPr>
                <w:noProof/>
                <w:webHidden/>
              </w:rPr>
              <w:t>17</w:t>
            </w:r>
            <w:r w:rsidR="00B173A2">
              <w:rPr>
                <w:noProof/>
                <w:webHidden/>
              </w:rPr>
              <w:fldChar w:fldCharType="end"/>
            </w:r>
          </w:hyperlink>
        </w:p>
        <w:p w:rsidR="00B173A2" w:rsidRDefault="00690F8B" w:rsidP="00886C5B">
          <w:pPr>
            <w:pStyle w:val="TOC2"/>
            <w:rPr>
              <w:rFonts w:asciiTheme="minorHAnsi" w:eastAsiaTheme="minorEastAsia" w:hAnsiTheme="minorHAnsi" w:cstheme="minorBidi"/>
              <w:noProof/>
              <w:szCs w:val="22"/>
              <w:lang w:eastAsia="en-AU"/>
            </w:rPr>
          </w:pPr>
          <w:hyperlink w:anchor="_Toc435088768" w:history="1">
            <w:r w:rsidR="00B173A2" w:rsidRPr="00AE1AD9">
              <w:rPr>
                <w:rStyle w:val="Hyperlink"/>
                <w:noProof/>
              </w:rPr>
              <w:t>Campaign specific materials</w:t>
            </w:r>
            <w:r w:rsidR="00B173A2">
              <w:rPr>
                <w:noProof/>
                <w:webHidden/>
              </w:rPr>
              <w:tab/>
            </w:r>
            <w:r w:rsidR="00B173A2">
              <w:rPr>
                <w:noProof/>
                <w:webHidden/>
              </w:rPr>
              <w:fldChar w:fldCharType="begin"/>
            </w:r>
            <w:r w:rsidR="00B173A2">
              <w:rPr>
                <w:noProof/>
                <w:webHidden/>
              </w:rPr>
              <w:instrText xml:space="preserve"> PAGEREF _Toc435088768 \h </w:instrText>
            </w:r>
            <w:r w:rsidR="00B173A2">
              <w:rPr>
                <w:noProof/>
                <w:webHidden/>
              </w:rPr>
            </w:r>
            <w:r w:rsidR="00B173A2">
              <w:rPr>
                <w:noProof/>
                <w:webHidden/>
              </w:rPr>
              <w:fldChar w:fldCharType="separate"/>
            </w:r>
            <w:r w:rsidR="005F2E92">
              <w:rPr>
                <w:noProof/>
                <w:webHidden/>
              </w:rPr>
              <w:t>19</w:t>
            </w:r>
            <w:r w:rsidR="00B173A2">
              <w:rPr>
                <w:noProof/>
                <w:webHidden/>
              </w:rPr>
              <w:fldChar w:fldCharType="end"/>
            </w:r>
          </w:hyperlink>
        </w:p>
        <w:p w:rsidR="00B173A2" w:rsidRDefault="00690F8B" w:rsidP="00886C5B">
          <w:pPr>
            <w:pStyle w:val="TOC2"/>
            <w:rPr>
              <w:rFonts w:asciiTheme="minorHAnsi" w:eastAsiaTheme="minorEastAsia" w:hAnsiTheme="minorHAnsi" w:cstheme="minorBidi"/>
              <w:noProof/>
              <w:szCs w:val="22"/>
              <w:lang w:eastAsia="en-AU"/>
            </w:rPr>
          </w:pPr>
          <w:hyperlink w:anchor="_Toc435088769" w:history="1">
            <w:r w:rsidR="00B173A2" w:rsidRPr="00AE1AD9">
              <w:rPr>
                <w:rStyle w:val="Hyperlink"/>
                <w:noProof/>
                <w:lang w:eastAsia="en-AU"/>
              </w:rPr>
              <w:t>Pre-roll Video</w:t>
            </w:r>
            <w:r w:rsidR="00B173A2">
              <w:rPr>
                <w:noProof/>
                <w:webHidden/>
              </w:rPr>
              <w:tab/>
            </w:r>
            <w:r w:rsidR="00B173A2">
              <w:rPr>
                <w:noProof/>
                <w:webHidden/>
              </w:rPr>
              <w:fldChar w:fldCharType="begin"/>
            </w:r>
            <w:r w:rsidR="00B173A2">
              <w:rPr>
                <w:noProof/>
                <w:webHidden/>
              </w:rPr>
              <w:instrText xml:space="preserve"> PAGEREF _Toc435088769 \h </w:instrText>
            </w:r>
            <w:r w:rsidR="00B173A2">
              <w:rPr>
                <w:noProof/>
                <w:webHidden/>
              </w:rPr>
            </w:r>
            <w:r w:rsidR="00B173A2">
              <w:rPr>
                <w:noProof/>
                <w:webHidden/>
              </w:rPr>
              <w:fldChar w:fldCharType="separate"/>
            </w:r>
            <w:r w:rsidR="005F2E92">
              <w:rPr>
                <w:noProof/>
                <w:webHidden/>
              </w:rPr>
              <w:t>19</w:t>
            </w:r>
            <w:r w:rsidR="00B173A2">
              <w:rPr>
                <w:noProof/>
                <w:webHidden/>
              </w:rPr>
              <w:fldChar w:fldCharType="end"/>
            </w:r>
          </w:hyperlink>
        </w:p>
        <w:p w:rsidR="00B173A2" w:rsidRDefault="00690F8B" w:rsidP="00886C5B">
          <w:pPr>
            <w:pStyle w:val="TOC2"/>
            <w:rPr>
              <w:rFonts w:asciiTheme="minorHAnsi" w:eastAsiaTheme="minorEastAsia" w:hAnsiTheme="minorHAnsi" w:cstheme="minorBidi"/>
              <w:noProof/>
              <w:szCs w:val="22"/>
              <w:lang w:eastAsia="en-AU"/>
            </w:rPr>
          </w:pPr>
          <w:hyperlink w:anchor="_Toc435088770" w:history="1">
            <w:r w:rsidR="00B173A2" w:rsidRPr="00AE1AD9">
              <w:rPr>
                <w:rStyle w:val="Hyperlink"/>
                <w:noProof/>
                <w:lang w:eastAsia="en-AU"/>
              </w:rPr>
              <w:t>OOH/ Print  creative</w:t>
            </w:r>
            <w:r w:rsidR="00B173A2">
              <w:rPr>
                <w:noProof/>
                <w:webHidden/>
              </w:rPr>
              <w:tab/>
            </w:r>
            <w:r w:rsidR="00B173A2">
              <w:rPr>
                <w:noProof/>
                <w:webHidden/>
              </w:rPr>
              <w:fldChar w:fldCharType="begin"/>
            </w:r>
            <w:r w:rsidR="00B173A2">
              <w:rPr>
                <w:noProof/>
                <w:webHidden/>
              </w:rPr>
              <w:instrText xml:space="preserve"> PAGEREF _Toc435088770 \h </w:instrText>
            </w:r>
            <w:r w:rsidR="00B173A2">
              <w:rPr>
                <w:noProof/>
                <w:webHidden/>
              </w:rPr>
            </w:r>
            <w:r w:rsidR="00B173A2">
              <w:rPr>
                <w:noProof/>
                <w:webHidden/>
              </w:rPr>
              <w:fldChar w:fldCharType="separate"/>
            </w:r>
            <w:r w:rsidR="005F2E92">
              <w:rPr>
                <w:noProof/>
                <w:webHidden/>
              </w:rPr>
              <w:t>20</w:t>
            </w:r>
            <w:r w:rsidR="00B173A2">
              <w:rPr>
                <w:noProof/>
                <w:webHidden/>
              </w:rPr>
              <w:fldChar w:fldCharType="end"/>
            </w:r>
          </w:hyperlink>
        </w:p>
        <w:p w:rsidR="00B173A2" w:rsidRDefault="00690F8B" w:rsidP="00886C5B">
          <w:pPr>
            <w:pStyle w:val="TOC2"/>
            <w:rPr>
              <w:rFonts w:asciiTheme="minorHAnsi" w:eastAsiaTheme="minorEastAsia" w:hAnsiTheme="minorHAnsi" w:cstheme="minorBidi"/>
              <w:noProof/>
              <w:szCs w:val="22"/>
              <w:lang w:eastAsia="en-AU"/>
            </w:rPr>
          </w:pPr>
          <w:hyperlink w:anchor="_Toc435088771" w:history="1">
            <w:r w:rsidR="00B173A2" w:rsidRPr="00AE1AD9">
              <w:rPr>
                <w:rStyle w:val="Hyperlink"/>
                <w:noProof/>
                <w:lang w:eastAsia="en-AU"/>
              </w:rPr>
              <w:t>Online advertising</w:t>
            </w:r>
            <w:r w:rsidR="00B173A2">
              <w:rPr>
                <w:noProof/>
                <w:webHidden/>
              </w:rPr>
              <w:tab/>
            </w:r>
            <w:r w:rsidR="00B173A2">
              <w:rPr>
                <w:noProof/>
                <w:webHidden/>
              </w:rPr>
              <w:fldChar w:fldCharType="begin"/>
            </w:r>
            <w:r w:rsidR="00B173A2">
              <w:rPr>
                <w:noProof/>
                <w:webHidden/>
              </w:rPr>
              <w:instrText xml:space="preserve"> PAGEREF _Toc435088771 \h </w:instrText>
            </w:r>
            <w:r w:rsidR="00B173A2">
              <w:rPr>
                <w:noProof/>
                <w:webHidden/>
              </w:rPr>
            </w:r>
            <w:r w:rsidR="00B173A2">
              <w:rPr>
                <w:noProof/>
                <w:webHidden/>
              </w:rPr>
              <w:fldChar w:fldCharType="separate"/>
            </w:r>
            <w:r w:rsidR="005F2E92">
              <w:rPr>
                <w:noProof/>
                <w:webHidden/>
              </w:rPr>
              <w:t>23</w:t>
            </w:r>
            <w:r w:rsidR="00B173A2">
              <w:rPr>
                <w:noProof/>
                <w:webHidden/>
              </w:rPr>
              <w:fldChar w:fldCharType="end"/>
            </w:r>
          </w:hyperlink>
        </w:p>
        <w:p w:rsidR="00B173A2" w:rsidRDefault="00690F8B" w:rsidP="00886C5B">
          <w:pPr>
            <w:pStyle w:val="TOC2"/>
            <w:rPr>
              <w:rFonts w:asciiTheme="minorHAnsi" w:eastAsiaTheme="minorEastAsia" w:hAnsiTheme="minorHAnsi" w:cstheme="minorBidi"/>
              <w:noProof/>
              <w:szCs w:val="22"/>
              <w:lang w:eastAsia="en-AU"/>
            </w:rPr>
          </w:pPr>
          <w:hyperlink w:anchor="_Toc435088772" w:history="1">
            <w:r w:rsidR="00B173A2" w:rsidRPr="00AE1AD9">
              <w:rPr>
                <w:rStyle w:val="Hyperlink"/>
                <w:noProof/>
              </w:rPr>
              <w:t>Campaign Message</w:t>
            </w:r>
            <w:r w:rsidR="00B173A2">
              <w:rPr>
                <w:noProof/>
                <w:webHidden/>
              </w:rPr>
              <w:tab/>
            </w:r>
            <w:r w:rsidR="00B173A2">
              <w:rPr>
                <w:noProof/>
                <w:webHidden/>
              </w:rPr>
              <w:fldChar w:fldCharType="begin"/>
            </w:r>
            <w:r w:rsidR="00B173A2">
              <w:rPr>
                <w:noProof/>
                <w:webHidden/>
              </w:rPr>
              <w:instrText xml:space="preserve"> PAGEREF _Toc435088772 \h </w:instrText>
            </w:r>
            <w:r w:rsidR="00B173A2">
              <w:rPr>
                <w:noProof/>
                <w:webHidden/>
              </w:rPr>
            </w:r>
            <w:r w:rsidR="00B173A2">
              <w:rPr>
                <w:noProof/>
                <w:webHidden/>
              </w:rPr>
              <w:fldChar w:fldCharType="separate"/>
            </w:r>
            <w:r w:rsidR="005F2E92">
              <w:rPr>
                <w:noProof/>
                <w:webHidden/>
              </w:rPr>
              <w:t>23</w:t>
            </w:r>
            <w:r w:rsidR="00B173A2">
              <w:rPr>
                <w:noProof/>
                <w:webHidden/>
              </w:rPr>
              <w:fldChar w:fldCharType="end"/>
            </w:r>
          </w:hyperlink>
        </w:p>
        <w:p w:rsidR="00B173A2" w:rsidRDefault="00690F8B" w:rsidP="00886C5B">
          <w:pPr>
            <w:pStyle w:val="TOC2"/>
            <w:rPr>
              <w:rFonts w:asciiTheme="minorHAnsi" w:eastAsiaTheme="minorEastAsia" w:hAnsiTheme="minorHAnsi" w:cstheme="minorBidi"/>
              <w:noProof/>
              <w:szCs w:val="22"/>
              <w:lang w:eastAsia="en-AU"/>
            </w:rPr>
          </w:pPr>
          <w:hyperlink w:anchor="_Toc435088773" w:history="1">
            <w:r w:rsidR="00B173A2" w:rsidRPr="00AE1AD9">
              <w:rPr>
                <w:rStyle w:val="Hyperlink"/>
                <w:noProof/>
              </w:rPr>
              <w:t>Call to Action</w:t>
            </w:r>
            <w:r w:rsidR="00B173A2">
              <w:rPr>
                <w:noProof/>
                <w:webHidden/>
              </w:rPr>
              <w:tab/>
            </w:r>
            <w:r w:rsidR="00B173A2">
              <w:rPr>
                <w:noProof/>
                <w:webHidden/>
              </w:rPr>
              <w:fldChar w:fldCharType="begin"/>
            </w:r>
            <w:r w:rsidR="00B173A2">
              <w:rPr>
                <w:noProof/>
                <w:webHidden/>
              </w:rPr>
              <w:instrText xml:space="preserve"> PAGEREF _Toc435088773 \h </w:instrText>
            </w:r>
            <w:r w:rsidR="00B173A2">
              <w:rPr>
                <w:noProof/>
                <w:webHidden/>
              </w:rPr>
            </w:r>
            <w:r w:rsidR="00B173A2">
              <w:rPr>
                <w:noProof/>
                <w:webHidden/>
              </w:rPr>
              <w:fldChar w:fldCharType="separate"/>
            </w:r>
            <w:r w:rsidR="005F2E92">
              <w:rPr>
                <w:noProof/>
                <w:webHidden/>
              </w:rPr>
              <w:t>25</w:t>
            </w:r>
            <w:r w:rsidR="00B173A2">
              <w:rPr>
                <w:noProof/>
                <w:webHidden/>
              </w:rPr>
              <w:fldChar w:fldCharType="end"/>
            </w:r>
          </w:hyperlink>
        </w:p>
        <w:p w:rsidR="00B173A2" w:rsidRDefault="00690F8B" w:rsidP="00886C5B">
          <w:pPr>
            <w:pStyle w:val="TOC2"/>
            <w:rPr>
              <w:rFonts w:asciiTheme="minorHAnsi" w:eastAsiaTheme="minorEastAsia" w:hAnsiTheme="minorHAnsi" w:cstheme="minorBidi"/>
              <w:noProof/>
              <w:szCs w:val="22"/>
              <w:lang w:eastAsia="en-AU"/>
            </w:rPr>
          </w:pPr>
          <w:hyperlink w:anchor="_Toc435088774" w:history="1">
            <w:r w:rsidR="00B173A2" w:rsidRPr="00AE1AD9">
              <w:rPr>
                <w:rStyle w:val="Hyperlink"/>
                <w:noProof/>
              </w:rPr>
              <w:t>Areas for improvement</w:t>
            </w:r>
            <w:r w:rsidR="00B173A2">
              <w:rPr>
                <w:noProof/>
                <w:webHidden/>
              </w:rPr>
              <w:tab/>
            </w:r>
            <w:r w:rsidR="00B173A2">
              <w:rPr>
                <w:noProof/>
                <w:webHidden/>
              </w:rPr>
              <w:fldChar w:fldCharType="begin"/>
            </w:r>
            <w:r w:rsidR="00B173A2">
              <w:rPr>
                <w:noProof/>
                <w:webHidden/>
              </w:rPr>
              <w:instrText xml:space="preserve"> PAGEREF _Toc435088774 \h </w:instrText>
            </w:r>
            <w:r w:rsidR="00B173A2">
              <w:rPr>
                <w:noProof/>
                <w:webHidden/>
              </w:rPr>
            </w:r>
            <w:r w:rsidR="00B173A2">
              <w:rPr>
                <w:noProof/>
                <w:webHidden/>
              </w:rPr>
              <w:fldChar w:fldCharType="separate"/>
            </w:r>
            <w:r w:rsidR="005F2E92">
              <w:rPr>
                <w:noProof/>
                <w:webHidden/>
              </w:rPr>
              <w:t>26</w:t>
            </w:r>
            <w:r w:rsidR="00B173A2">
              <w:rPr>
                <w:noProof/>
                <w:webHidden/>
              </w:rPr>
              <w:fldChar w:fldCharType="end"/>
            </w:r>
          </w:hyperlink>
        </w:p>
        <w:p w:rsidR="00B173A2" w:rsidRDefault="00690F8B" w:rsidP="00886C5B">
          <w:pPr>
            <w:pStyle w:val="TOC2"/>
            <w:rPr>
              <w:rFonts w:asciiTheme="minorHAnsi" w:eastAsiaTheme="minorEastAsia" w:hAnsiTheme="minorHAnsi" w:cstheme="minorBidi"/>
              <w:noProof/>
              <w:szCs w:val="22"/>
              <w:lang w:eastAsia="en-AU"/>
            </w:rPr>
          </w:pPr>
          <w:hyperlink w:anchor="_Toc435088775" w:history="1">
            <w:r w:rsidR="00B173A2" w:rsidRPr="00AE1AD9">
              <w:rPr>
                <w:rStyle w:val="Hyperlink"/>
                <w:noProof/>
              </w:rPr>
              <w:t>Section Summary:</w:t>
            </w:r>
            <w:r w:rsidR="00B173A2">
              <w:rPr>
                <w:noProof/>
                <w:webHidden/>
              </w:rPr>
              <w:tab/>
            </w:r>
            <w:r w:rsidR="00B173A2">
              <w:rPr>
                <w:noProof/>
                <w:webHidden/>
              </w:rPr>
              <w:fldChar w:fldCharType="begin"/>
            </w:r>
            <w:r w:rsidR="00B173A2">
              <w:rPr>
                <w:noProof/>
                <w:webHidden/>
              </w:rPr>
              <w:instrText xml:space="preserve"> PAGEREF _Toc435088775 \h </w:instrText>
            </w:r>
            <w:r w:rsidR="00B173A2">
              <w:rPr>
                <w:noProof/>
                <w:webHidden/>
              </w:rPr>
            </w:r>
            <w:r w:rsidR="00B173A2">
              <w:rPr>
                <w:noProof/>
                <w:webHidden/>
              </w:rPr>
              <w:fldChar w:fldCharType="separate"/>
            </w:r>
            <w:r w:rsidR="005F2E92">
              <w:rPr>
                <w:noProof/>
                <w:webHidden/>
              </w:rPr>
              <w:t>27</w:t>
            </w:r>
            <w:r w:rsidR="00B173A2">
              <w:rPr>
                <w:noProof/>
                <w:webHidden/>
              </w:rPr>
              <w:fldChar w:fldCharType="end"/>
            </w:r>
          </w:hyperlink>
        </w:p>
        <w:p w:rsidR="00B173A2" w:rsidRDefault="00690F8B" w:rsidP="00886C5B">
          <w:pPr>
            <w:pStyle w:val="TOC2"/>
            <w:rPr>
              <w:rFonts w:asciiTheme="minorHAnsi" w:eastAsiaTheme="minorEastAsia" w:hAnsiTheme="minorHAnsi" w:cstheme="minorBidi"/>
              <w:noProof/>
              <w:szCs w:val="22"/>
              <w:lang w:eastAsia="en-AU"/>
            </w:rPr>
          </w:pPr>
          <w:hyperlink w:anchor="_Toc435088776" w:history="1">
            <w:r w:rsidR="00B173A2" w:rsidRPr="00AE1AD9">
              <w:rPr>
                <w:rStyle w:val="Hyperlink"/>
                <w:noProof/>
              </w:rPr>
              <w:t>Key Next Step</w:t>
            </w:r>
            <w:r w:rsidR="00B173A2">
              <w:rPr>
                <w:noProof/>
                <w:webHidden/>
              </w:rPr>
              <w:tab/>
            </w:r>
            <w:r w:rsidR="00B173A2">
              <w:rPr>
                <w:noProof/>
                <w:webHidden/>
              </w:rPr>
              <w:fldChar w:fldCharType="begin"/>
            </w:r>
            <w:r w:rsidR="00B173A2">
              <w:rPr>
                <w:noProof/>
                <w:webHidden/>
              </w:rPr>
              <w:instrText xml:space="preserve"> PAGEREF _Toc435088776 \h </w:instrText>
            </w:r>
            <w:r w:rsidR="00B173A2">
              <w:rPr>
                <w:noProof/>
                <w:webHidden/>
              </w:rPr>
            </w:r>
            <w:r w:rsidR="00B173A2">
              <w:rPr>
                <w:noProof/>
                <w:webHidden/>
              </w:rPr>
              <w:fldChar w:fldCharType="separate"/>
            </w:r>
            <w:r w:rsidR="005F2E92">
              <w:rPr>
                <w:noProof/>
                <w:webHidden/>
              </w:rPr>
              <w:t>28</w:t>
            </w:r>
            <w:r w:rsidR="00B173A2">
              <w:rPr>
                <w:noProof/>
                <w:webHidden/>
              </w:rPr>
              <w:fldChar w:fldCharType="end"/>
            </w:r>
          </w:hyperlink>
        </w:p>
        <w:p w:rsidR="00B173A2" w:rsidRDefault="00690F8B">
          <w:pPr>
            <w:pStyle w:val="TOC1"/>
            <w:rPr>
              <w:rFonts w:asciiTheme="minorHAnsi" w:eastAsiaTheme="minorEastAsia" w:hAnsiTheme="minorHAnsi" w:cstheme="minorBidi"/>
              <w:noProof/>
              <w:szCs w:val="22"/>
              <w:lang w:eastAsia="en-AU"/>
            </w:rPr>
          </w:pPr>
          <w:hyperlink w:anchor="_Toc435088777" w:history="1">
            <w:r w:rsidR="00B173A2" w:rsidRPr="00AE1AD9">
              <w:rPr>
                <w:rStyle w:val="Hyperlink"/>
                <w:noProof/>
              </w:rPr>
              <w:t>CAMPAIGN IMPACT ON KEY METRICS</w:t>
            </w:r>
            <w:r w:rsidR="00B173A2">
              <w:rPr>
                <w:noProof/>
                <w:webHidden/>
              </w:rPr>
              <w:tab/>
            </w:r>
            <w:r w:rsidR="00B173A2">
              <w:rPr>
                <w:noProof/>
                <w:webHidden/>
              </w:rPr>
              <w:fldChar w:fldCharType="begin"/>
            </w:r>
            <w:r w:rsidR="00B173A2">
              <w:rPr>
                <w:noProof/>
                <w:webHidden/>
              </w:rPr>
              <w:instrText xml:space="preserve"> PAGEREF _Toc435088777 \h </w:instrText>
            </w:r>
            <w:r w:rsidR="00B173A2">
              <w:rPr>
                <w:noProof/>
                <w:webHidden/>
              </w:rPr>
            </w:r>
            <w:r w:rsidR="00B173A2">
              <w:rPr>
                <w:noProof/>
                <w:webHidden/>
              </w:rPr>
              <w:fldChar w:fldCharType="separate"/>
            </w:r>
            <w:r w:rsidR="005F2E92">
              <w:rPr>
                <w:noProof/>
                <w:webHidden/>
              </w:rPr>
              <w:t>28</w:t>
            </w:r>
            <w:r w:rsidR="00B173A2">
              <w:rPr>
                <w:noProof/>
                <w:webHidden/>
              </w:rPr>
              <w:fldChar w:fldCharType="end"/>
            </w:r>
          </w:hyperlink>
        </w:p>
        <w:p w:rsidR="00B173A2" w:rsidRDefault="00690F8B" w:rsidP="00886C5B">
          <w:pPr>
            <w:pStyle w:val="TOC2"/>
            <w:rPr>
              <w:rFonts w:asciiTheme="minorHAnsi" w:eastAsiaTheme="minorEastAsia" w:hAnsiTheme="minorHAnsi" w:cstheme="minorBidi"/>
              <w:noProof/>
              <w:szCs w:val="22"/>
              <w:lang w:eastAsia="en-AU"/>
            </w:rPr>
          </w:pPr>
          <w:hyperlink w:anchor="_Toc435088778" w:history="1">
            <w:r w:rsidR="00B173A2" w:rsidRPr="00AE1AD9">
              <w:rPr>
                <w:rStyle w:val="Hyperlink"/>
                <w:noProof/>
              </w:rPr>
              <w:t>Health Star Rating Awareness</w:t>
            </w:r>
            <w:r w:rsidR="00B173A2">
              <w:rPr>
                <w:noProof/>
                <w:webHidden/>
              </w:rPr>
              <w:tab/>
            </w:r>
            <w:r w:rsidR="00B173A2">
              <w:rPr>
                <w:noProof/>
                <w:webHidden/>
              </w:rPr>
              <w:fldChar w:fldCharType="begin"/>
            </w:r>
            <w:r w:rsidR="00B173A2">
              <w:rPr>
                <w:noProof/>
                <w:webHidden/>
              </w:rPr>
              <w:instrText xml:space="preserve"> PAGEREF _Toc435088778 \h </w:instrText>
            </w:r>
            <w:r w:rsidR="00B173A2">
              <w:rPr>
                <w:noProof/>
                <w:webHidden/>
              </w:rPr>
            </w:r>
            <w:r w:rsidR="00B173A2">
              <w:rPr>
                <w:noProof/>
                <w:webHidden/>
              </w:rPr>
              <w:fldChar w:fldCharType="separate"/>
            </w:r>
            <w:r w:rsidR="005F2E92">
              <w:rPr>
                <w:noProof/>
                <w:webHidden/>
              </w:rPr>
              <w:t>28</w:t>
            </w:r>
            <w:r w:rsidR="00B173A2">
              <w:rPr>
                <w:noProof/>
                <w:webHidden/>
              </w:rPr>
              <w:fldChar w:fldCharType="end"/>
            </w:r>
          </w:hyperlink>
        </w:p>
        <w:p w:rsidR="00B173A2" w:rsidRDefault="00690F8B" w:rsidP="00886C5B">
          <w:pPr>
            <w:pStyle w:val="TOC2"/>
            <w:rPr>
              <w:rFonts w:asciiTheme="minorHAnsi" w:eastAsiaTheme="minorEastAsia" w:hAnsiTheme="minorHAnsi" w:cstheme="minorBidi"/>
              <w:noProof/>
              <w:szCs w:val="22"/>
              <w:lang w:eastAsia="en-AU"/>
            </w:rPr>
          </w:pPr>
          <w:hyperlink w:anchor="_Toc435088779" w:history="1">
            <w:r w:rsidR="00B173A2" w:rsidRPr="00AE1AD9">
              <w:rPr>
                <w:rStyle w:val="Hyperlink"/>
                <w:noProof/>
              </w:rPr>
              <w:t>Understanding of the Health Star Rating</w:t>
            </w:r>
            <w:r w:rsidR="00B173A2">
              <w:rPr>
                <w:noProof/>
                <w:webHidden/>
              </w:rPr>
              <w:tab/>
            </w:r>
            <w:r w:rsidR="00B173A2">
              <w:rPr>
                <w:noProof/>
                <w:webHidden/>
              </w:rPr>
              <w:fldChar w:fldCharType="begin"/>
            </w:r>
            <w:r w:rsidR="00B173A2">
              <w:rPr>
                <w:noProof/>
                <w:webHidden/>
              </w:rPr>
              <w:instrText xml:space="preserve"> PAGEREF _Toc435088779 \h </w:instrText>
            </w:r>
            <w:r w:rsidR="00B173A2">
              <w:rPr>
                <w:noProof/>
                <w:webHidden/>
              </w:rPr>
            </w:r>
            <w:r w:rsidR="00B173A2">
              <w:rPr>
                <w:noProof/>
                <w:webHidden/>
              </w:rPr>
              <w:fldChar w:fldCharType="separate"/>
            </w:r>
            <w:r w:rsidR="005F2E92">
              <w:rPr>
                <w:noProof/>
                <w:webHidden/>
              </w:rPr>
              <w:t>29</w:t>
            </w:r>
            <w:r w:rsidR="00B173A2">
              <w:rPr>
                <w:noProof/>
                <w:webHidden/>
              </w:rPr>
              <w:fldChar w:fldCharType="end"/>
            </w:r>
          </w:hyperlink>
        </w:p>
        <w:p w:rsidR="00B173A2" w:rsidRDefault="00690F8B" w:rsidP="00886C5B">
          <w:pPr>
            <w:pStyle w:val="TOC2"/>
            <w:rPr>
              <w:rFonts w:asciiTheme="minorHAnsi" w:eastAsiaTheme="minorEastAsia" w:hAnsiTheme="minorHAnsi" w:cstheme="minorBidi"/>
              <w:noProof/>
              <w:szCs w:val="22"/>
              <w:lang w:eastAsia="en-AU"/>
            </w:rPr>
          </w:pPr>
          <w:hyperlink w:anchor="_Toc435088780" w:history="1">
            <w:r w:rsidR="00B173A2" w:rsidRPr="00AE1AD9">
              <w:rPr>
                <w:rStyle w:val="Hyperlink"/>
                <w:noProof/>
              </w:rPr>
              <w:t>Use of the Health Star Rating</w:t>
            </w:r>
            <w:r w:rsidR="00B173A2">
              <w:rPr>
                <w:noProof/>
                <w:webHidden/>
              </w:rPr>
              <w:tab/>
            </w:r>
            <w:r w:rsidR="00B173A2">
              <w:rPr>
                <w:noProof/>
                <w:webHidden/>
              </w:rPr>
              <w:fldChar w:fldCharType="begin"/>
            </w:r>
            <w:r w:rsidR="00B173A2">
              <w:rPr>
                <w:noProof/>
                <w:webHidden/>
              </w:rPr>
              <w:instrText xml:space="preserve"> PAGEREF _Toc435088780 \h </w:instrText>
            </w:r>
            <w:r w:rsidR="00B173A2">
              <w:rPr>
                <w:noProof/>
                <w:webHidden/>
              </w:rPr>
            </w:r>
            <w:r w:rsidR="00B173A2">
              <w:rPr>
                <w:noProof/>
                <w:webHidden/>
              </w:rPr>
              <w:fldChar w:fldCharType="separate"/>
            </w:r>
            <w:r w:rsidR="005F2E92">
              <w:rPr>
                <w:noProof/>
                <w:webHidden/>
              </w:rPr>
              <w:t>30</w:t>
            </w:r>
            <w:r w:rsidR="00B173A2">
              <w:rPr>
                <w:noProof/>
                <w:webHidden/>
              </w:rPr>
              <w:fldChar w:fldCharType="end"/>
            </w:r>
          </w:hyperlink>
        </w:p>
        <w:p w:rsidR="00B173A2" w:rsidRDefault="00690F8B" w:rsidP="00886C5B">
          <w:pPr>
            <w:pStyle w:val="TOC2"/>
            <w:rPr>
              <w:rFonts w:asciiTheme="minorHAnsi" w:eastAsiaTheme="minorEastAsia" w:hAnsiTheme="minorHAnsi" w:cstheme="minorBidi"/>
              <w:noProof/>
              <w:szCs w:val="22"/>
              <w:lang w:eastAsia="en-AU"/>
            </w:rPr>
          </w:pPr>
          <w:hyperlink w:anchor="_Toc435088781" w:history="1">
            <w:r w:rsidR="00B173A2" w:rsidRPr="00AE1AD9">
              <w:rPr>
                <w:rStyle w:val="Hyperlink"/>
                <w:noProof/>
              </w:rPr>
              <w:t>Evaluation of the Health Star Rating - sentiment</w:t>
            </w:r>
            <w:r w:rsidR="00B173A2">
              <w:rPr>
                <w:noProof/>
                <w:webHidden/>
              </w:rPr>
              <w:tab/>
            </w:r>
            <w:r w:rsidR="00B173A2">
              <w:rPr>
                <w:noProof/>
                <w:webHidden/>
              </w:rPr>
              <w:fldChar w:fldCharType="begin"/>
            </w:r>
            <w:r w:rsidR="00B173A2">
              <w:rPr>
                <w:noProof/>
                <w:webHidden/>
              </w:rPr>
              <w:instrText xml:space="preserve"> PAGEREF _Toc435088781 \h </w:instrText>
            </w:r>
            <w:r w:rsidR="00B173A2">
              <w:rPr>
                <w:noProof/>
                <w:webHidden/>
              </w:rPr>
            </w:r>
            <w:r w:rsidR="00B173A2">
              <w:rPr>
                <w:noProof/>
                <w:webHidden/>
              </w:rPr>
              <w:fldChar w:fldCharType="separate"/>
            </w:r>
            <w:r w:rsidR="005F2E92">
              <w:rPr>
                <w:noProof/>
                <w:webHidden/>
              </w:rPr>
              <w:t>33</w:t>
            </w:r>
            <w:r w:rsidR="00B173A2">
              <w:rPr>
                <w:noProof/>
                <w:webHidden/>
              </w:rPr>
              <w:fldChar w:fldCharType="end"/>
            </w:r>
          </w:hyperlink>
        </w:p>
        <w:p w:rsidR="00B173A2" w:rsidRDefault="00690F8B" w:rsidP="00886C5B">
          <w:pPr>
            <w:pStyle w:val="TOC2"/>
            <w:rPr>
              <w:rFonts w:asciiTheme="minorHAnsi" w:eastAsiaTheme="minorEastAsia" w:hAnsiTheme="minorHAnsi" w:cstheme="minorBidi"/>
              <w:noProof/>
              <w:szCs w:val="22"/>
              <w:lang w:eastAsia="en-AU"/>
            </w:rPr>
          </w:pPr>
          <w:hyperlink w:anchor="_Toc435088782" w:history="1">
            <w:r w:rsidR="00B173A2" w:rsidRPr="00AE1AD9">
              <w:rPr>
                <w:rStyle w:val="Hyperlink"/>
                <w:noProof/>
              </w:rPr>
              <w:t>Section summary</w:t>
            </w:r>
            <w:r w:rsidR="00B173A2">
              <w:rPr>
                <w:noProof/>
                <w:webHidden/>
              </w:rPr>
              <w:tab/>
            </w:r>
            <w:r w:rsidR="00B173A2">
              <w:rPr>
                <w:noProof/>
                <w:webHidden/>
              </w:rPr>
              <w:fldChar w:fldCharType="begin"/>
            </w:r>
            <w:r w:rsidR="00B173A2">
              <w:rPr>
                <w:noProof/>
                <w:webHidden/>
              </w:rPr>
              <w:instrText xml:space="preserve"> PAGEREF _Toc435088782 \h </w:instrText>
            </w:r>
            <w:r w:rsidR="00B173A2">
              <w:rPr>
                <w:noProof/>
                <w:webHidden/>
              </w:rPr>
            </w:r>
            <w:r w:rsidR="00B173A2">
              <w:rPr>
                <w:noProof/>
                <w:webHidden/>
              </w:rPr>
              <w:fldChar w:fldCharType="separate"/>
            </w:r>
            <w:r w:rsidR="005F2E92">
              <w:rPr>
                <w:noProof/>
                <w:webHidden/>
              </w:rPr>
              <w:t>35</w:t>
            </w:r>
            <w:r w:rsidR="00B173A2">
              <w:rPr>
                <w:noProof/>
                <w:webHidden/>
              </w:rPr>
              <w:fldChar w:fldCharType="end"/>
            </w:r>
          </w:hyperlink>
        </w:p>
        <w:p w:rsidR="00B173A2" w:rsidRDefault="00690F8B" w:rsidP="00886C5B">
          <w:pPr>
            <w:pStyle w:val="TOC2"/>
            <w:rPr>
              <w:rFonts w:asciiTheme="minorHAnsi" w:eastAsiaTheme="minorEastAsia" w:hAnsiTheme="minorHAnsi" w:cstheme="minorBidi"/>
              <w:noProof/>
              <w:szCs w:val="22"/>
              <w:lang w:eastAsia="en-AU"/>
            </w:rPr>
          </w:pPr>
          <w:hyperlink w:anchor="_Toc435088783" w:history="1">
            <w:r w:rsidR="00B173A2" w:rsidRPr="00AE1AD9">
              <w:rPr>
                <w:rStyle w:val="Hyperlink"/>
                <w:noProof/>
              </w:rPr>
              <w:t>Key Next Step</w:t>
            </w:r>
            <w:r w:rsidR="00B173A2">
              <w:rPr>
                <w:noProof/>
                <w:webHidden/>
              </w:rPr>
              <w:tab/>
            </w:r>
            <w:r w:rsidR="00B173A2">
              <w:rPr>
                <w:noProof/>
                <w:webHidden/>
              </w:rPr>
              <w:fldChar w:fldCharType="begin"/>
            </w:r>
            <w:r w:rsidR="00B173A2">
              <w:rPr>
                <w:noProof/>
                <w:webHidden/>
              </w:rPr>
              <w:instrText xml:space="preserve"> PAGEREF _Toc435088783 \h </w:instrText>
            </w:r>
            <w:r w:rsidR="00B173A2">
              <w:rPr>
                <w:noProof/>
                <w:webHidden/>
              </w:rPr>
            </w:r>
            <w:r w:rsidR="00B173A2">
              <w:rPr>
                <w:noProof/>
                <w:webHidden/>
              </w:rPr>
              <w:fldChar w:fldCharType="separate"/>
            </w:r>
            <w:r w:rsidR="005F2E92">
              <w:rPr>
                <w:noProof/>
                <w:webHidden/>
              </w:rPr>
              <w:t>35</w:t>
            </w:r>
            <w:r w:rsidR="00B173A2">
              <w:rPr>
                <w:noProof/>
                <w:webHidden/>
              </w:rPr>
              <w:fldChar w:fldCharType="end"/>
            </w:r>
          </w:hyperlink>
        </w:p>
        <w:p w:rsidR="00B173A2" w:rsidRDefault="00690F8B">
          <w:pPr>
            <w:pStyle w:val="TOC1"/>
            <w:rPr>
              <w:rFonts w:asciiTheme="minorHAnsi" w:eastAsiaTheme="minorEastAsia" w:hAnsiTheme="minorHAnsi" w:cstheme="minorBidi"/>
              <w:noProof/>
              <w:szCs w:val="22"/>
              <w:lang w:eastAsia="en-AU"/>
            </w:rPr>
          </w:pPr>
          <w:hyperlink w:anchor="_Toc435088784" w:history="1">
            <w:r w:rsidR="00B173A2" w:rsidRPr="00AE1AD9">
              <w:rPr>
                <w:rStyle w:val="Hyperlink"/>
                <w:noProof/>
              </w:rPr>
              <w:t>CONCLUSION</w:t>
            </w:r>
            <w:r w:rsidR="00B173A2">
              <w:rPr>
                <w:noProof/>
                <w:webHidden/>
              </w:rPr>
              <w:tab/>
            </w:r>
            <w:r w:rsidR="00B173A2">
              <w:rPr>
                <w:noProof/>
                <w:webHidden/>
              </w:rPr>
              <w:fldChar w:fldCharType="begin"/>
            </w:r>
            <w:r w:rsidR="00B173A2">
              <w:rPr>
                <w:noProof/>
                <w:webHidden/>
              </w:rPr>
              <w:instrText xml:space="preserve"> PAGEREF _Toc435088784 \h </w:instrText>
            </w:r>
            <w:r w:rsidR="00B173A2">
              <w:rPr>
                <w:noProof/>
                <w:webHidden/>
              </w:rPr>
            </w:r>
            <w:r w:rsidR="00B173A2">
              <w:rPr>
                <w:noProof/>
                <w:webHidden/>
              </w:rPr>
              <w:fldChar w:fldCharType="separate"/>
            </w:r>
            <w:r w:rsidR="005F2E92">
              <w:rPr>
                <w:noProof/>
                <w:webHidden/>
              </w:rPr>
              <w:t>36</w:t>
            </w:r>
            <w:r w:rsidR="00B173A2">
              <w:rPr>
                <w:noProof/>
                <w:webHidden/>
              </w:rPr>
              <w:fldChar w:fldCharType="end"/>
            </w:r>
          </w:hyperlink>
        </w:p>
        <w:p w:rsidR="00E37518" w:rsidRPr="00D5583F" w:rsidRDefault="00E37518">
          <w:r w:rsidRPr="00D5583F">
            <w:rPr>
              <w:b/>
              <w:bCs/>
              <w:noProof/>
            </w:rPr>
            <w:lastRenderedPageBreak/>
            <w:fldChar w:fldCharType="end"/>
          </w:r>
        </w:p>
      </w:sdtContent>
    </w:sdt>
    <w:p w:rsidR="008B4211" w:rsidRPr="00E02961" w:rsidRDefault="00B53731" w:rsidP="00E02961">
      <w:pPr>
        <w:pStyle w:val="Heading2"/>
        <w:tabs>
          <w:tab w:val="left" w:pos="8306"/>
        </w:tabs>
        <w:rPr>
          <w:u w:val="single"/>
        </w:rPr>
      </w:pPr>
      <w:bookmarkStart w:id="1" w:name="_Toc435088751"/>
      <w:r w:rsidRPr="00E02961">
        <w:rPr>
          <w:u w:val="single"/>
        </w:rPr>
        <w:t>Executive Summary</w:t>
      </w:r>
      <w:bookmarkEnd w:id="1"/>
      <w:r w:rsidR="00E02961">
        <w:rPr>
          <w:u w:val="single"/>
        </w:rPr>
        <w:tab/>
      </w:r>
    </w:p>
    <w:p w:rsidR="008B4211" w:rsidRDefault="008B4211" w:rsidP="005A0A18">
      <w:pPr>
        <w:tabs>
          <w:tab w:val="left" w:pos="5602"/>
        </w:tabs>
        <w:spacing w:line="276" w:lineRule="auto"/>
      </w:pPr>
      <w:r>
        <w:t xml:space="preserve">The Australian Government Department of Health, in collaboration with State and Territory Governments, food industry, public health and consumer groups, has developed the Health Star Rating (HSR) system. The HSR </w:t>
      </w:r>
      <w:r w:rsidR="004D0A30">
        <w:t xml:space="preserve">system </w:t>
      </w:r>
      <w:r>
        <w:t xml:space="preserve">is voluntary and is being rolled out across various </w:t>
      </w:r>
      <w:r w:rsidR="004D0A30">
        <w:t xml:space="preserve">packaged food </w:t>
      </w:r>
      <w:r>
        <w:t>products and brands over a five year period.</w:t>
      </w:r>
    </w:p>
    <w:p w:rsidR="008B4211" w:rsidRDefault="008B4211" w:rsidP="005A0A18">
      <w:r w:rsidRPr="0034735D">
        <w:t>This research project was designed to evaluate the 20</w:t>
      </w:r>
      <w:r>
        <w:t>15 Health Star Rating campaign and this report addresses a</w:t>
      </w:r>
      <w:r w:rsidRPr="0034735D">
        <w:t>wareness and understanding of the Health Star Rating</w:t>
      </w:r>
      <w:r>
        <w:t xml:space="preserve"> system, h</w:t>
      </w:r>
      <w:r w:rsidRPr="0034735D">
        <w:t xml:space="preserve">ow the </w:t>
      </w:r>
      <w:r>
        <w:t xml:space="preserve">HSR </w:t>
      </w:r>
      <w:r w:rsidRPr="0034735D">
        <w:t>campaign has performed in terms of recognition, messaging and diagnostics</w:t>
      </w:r>
      <w:r>
        <w:t>, and w</w:t>
      </w:r>
      <w:r w:rsidRPr="0034735D">
        <w:t>hat impact the campaign has had on key metrics relating to the success of the Health Star Rating</w:t>
      </w:r>
      <w:r>
        <w:t xml:space="preserve"> system.</w:t>
      </w:r>
    </w:p>
    <w:p w:rsidR="008B4211" w:rsidRDefault="008B4211" w:rsidP="005A0A18">
      <w:r>
        <w:t>Fieldwork was conducted in September 2015, with the survey including questions in common with the HSR campaign evaluation (benchmark) survey (conducted in September 2014), and the HSR usage and understanding survey (April 2015). Where relevant, results from the surveys have been compared. The results are based on a n</w:t>
      </w:r>
      <w:r w:rsidRPr="00C71564">
        <w:t xml:space="preserve">ationally </w:t>
      </w:r>
      <w:r>
        <w:t xml:space="preserve">and population </w:t>
      </w:r>
      <w:r w:rsidRPr="00C71564">
        <w:t>representative sample of 10</w:t>
      </w:r>
      <w:r>
        <w:t>00</w:t>
      </w:r>
      <w:r w:rsidRPr="00C71564">
        <w:t xml:space="preserve"> main/joint grocery buyer</w:t>
      </w:r>
      <w:r>
        <w:t>s</w:t>
      </w:r>
      <w:r w:rsidRPr="00C71564">
        <w:t xml:space="preserve"> </w:t>
      </w:r>
      <w:r>
        <w:t>aged 18 years and older.</w:t>
      </w:r>
    </w:p>
    <w:p w:rsidR="008B4211" w:rsidRPr="000A07CA" w:rsidRDefault="008B4211" w:rsidP="005A0A18">
      <w:r w:rsidRPr="00FF1DCB">
        <w:t xml:space="preserve">Awareness </w:t>
      </w:r>
      <w:r>
        <w:t xml:space="preserve">of the HSR has significantly increased from 33% in April 2015 to 42% in September 2015. This is coupled with a significant increase in the accurate understanding of the HSR, which has increased to 64%, </w:t>
      </w:r>
      <w:r w:rsidRPr="00FF1DCB">
        <w:t>up from 49%</w:t>
      </w:r>
      <w:r>
        <w:t xml:space="preserve"> in April 2015. In line with higher levels of awareness and understanding, likelihood to use the HSR has also increased, with 47% of the sample stating they would be likely to use the HSR on a regular basis, an increase from 40% in April 2015. Additionally, recorded levels of negativity toward using the system are very low, at 7%.</w:t>
      </w:r>
    </w:p>
    <w:p w:rsidR="00E02961" w:rsidRDefault="008B4211" w:rsidP="005A0A18">
      <w:pPr>
        <w:spacing w:after="240"/>
      </w:pPr>
      <w:r>
        <w:t>There is a strong desire among the public to see the HSR in store: w</w:t>
      </w:r>
      <w:r w:rsidRPr="00FF1DCB">
        <w:t xml:space="preserve">hen asked how many products </w:t>
      </w:r>
      <w:r>
        <w:t xml:space="preserve">people would </w:t>
      </w:r>
      <w:r w:rsidRPr="00FF1DCB">
        <w:t>like to see HSR on, 62% stated they woul</w:t>
      </w:r>
      <w:r>
        <w:t xml:space="preserve">d like the HSR on more products than is currently the case. And as more people are becoming aware of the HSR and understanding the role of the HSR when grocery shopping, some are starting to use the HSR to make healthier food choices. Among those aware of the HSR, 33% </w:t>
      </w:r>
      <w:r w:rsidRPr="00FF1DCB">
        <w:t xml:space="preserve">have </w:t>
      </w:r>
      <w:r>
        <w:t xml:space="preserve">decided to buy </w:t>
      </w:r>
      <w:r w:rsidRPr="00FF1DCB">
        <w:t xml:space="preserve">a </w:t>
      </w:r>
      <w:r>
        <w:t xml:space="preserve">product they do not usually buy – rather than their habitual choice – </w:t>
      </w:r>
      <w:r w:rsidRPr="00FF1DCB">
        <w:t xml:space="preserve">because </w:t>
      </w:r>
      <w:r>
        <w:t xml:space="preserve">the new product has </w:t>
      </w:r>
      <w:r w:rsidRPr="00FF1DCB">
        <w:t>a higher HSR than their usual product</w:t>
      </w:r>
      <w:r>
        <w:t xml:space="preserve">. This equates to </w:t>
      </w:r>
      <w:r w:rsidRPr="00FF1DCB">
        <w:t xml:space="preserve">14% </w:t>
      </w:r>
      <w:r>
        <w:t xml:space="preserve">of </w:t>
      </w:r>
      <w:r w:rsidRPr="00FF1DCB">
        <w:t>the total sample</w:t>
      </w:r>
      <w:r>
        <w:t>, or approximately one in six people who are changing their shopping behaviour based on the Health Star Rating.</w:t>
      </w:r>
      <w:r w:rsidR="00372850">
        <w:t xml:space="preserve"> </w:t>
      </w:r>
    </w:p>
    <w:p w:rsidR="008B4211" w:rsidRDefault="00372850" w:rsidP="005A0A18">
      <w:pPr>
        <w:spacing w:after="240"/>
      </w:pPr>
      <w:r>
        <w:t xml:space="preserve">Given the HSR is currently on relatively few items in supermarkets, this level of uptake </w:t>
      </w:r>
      <w:r w:rsidR="008B4211">
        <w:t xml:space="preserve">strongly suggests the </w:t>
      </w:r>
      <w:r w:rsidR="008B4211" w:rsidRPr="00FF1DCB">
        <w:t>HSR is crea</w:t>
      </w:r>
      <w:r w:rsidR="008B4211">
        <w:t>t</w:t>
      </w:r>
      <w:r w:rsidR="008B4211" w:rsidRPr="00FF1DCB">
        <w:t>ing</w:t>
      </w:r>
      <w:r w:rsidR="008B4211">
        <w:t xml:space="preserve"> positive behaviour change among Australian grocery buyers.</w:t>
      </w:r>
      <w:r w:rsidR="00697391">
        <w:t xml:space="preserve"> </w:t>
      </w:r>
      <w:r w:rsidR="00E02961">
        <w:t>In addition</w:t>
      </w:r>
      <w:r w:rsidR="008B4211">
        <w:t xml:space="preserve">, the HSR appears to be delivering </w:t>
      </w:r>
      <w:r w:rsidR="008B4211" w:rsidRPr="00FF1DCB">
        <w:t>lasting behaviour change, which is the ultimate objective.</w:t>
      </w:r>
      <w:r w:rsidR="008B4211">
        <w:t xml:space="preserve"> Among those grocery shoppers who said they have purchased a new </w:t>
      </w:r>
      <w:r w:rsidR="008B4211">
        <w:lastRenderedPageBreak/>
        <w:t>product because it had a higher HSR than their habitual purchase</w:t>
      </w:r>
      <w:r w:rsidR="008B4211" w:rsidRPr="00FF1DCB">
        <w:t>, 73% have continued to buy this new product with a higher HSR</w:t>
      </w:r>
      <w:r w:rsidR="008B4211">
        <w:t xml:space="preserve">. This equates to one in ten people </w:t>
      </w:r>
      <w:r w:rsidR="008B4211" w:rsidRPr="00FF1DCB">
        <w:t>(10% of the total sample)</w:t>
      </w:r>
      <w:r w:rsidR="008B4211">
        <w:t xml:space="preserve"> who are effecting lasting behaviour change, through use of the HSR when grocery shopping.</w:t>
      </w:r>
    </w:p>
    <w:p w:rsidR="008B4211" w:rsidRDefault="008B4211" w:rsidP="005A0A18">
      <w:pPr>
        <w:spacing w:after="240"/>
      </w:pPr>
      <w:bookmarkStart w:id="2" w:name="_Toc433804615"/>
      <w:r w:rsidRPr="000A07CA">
        <w:t>When it comes to understanding how to use the HSR within the supermarket, approximately</w:t>
      </w:r>
      <w:r>
        <w:t xml:space="preserve"> two thirds (68%) of those surveyed state the HSR makes it easier to compare products that are in the same section of the supermarket. However, there remains </w:t>
      </w:r>
      <w:r w:rsidRPr="000A07CA">
        <w:t>confusion regarding using the HSR to compare products in differ</w:t>
      </w:r>
      <w:r>
        <w:t xml:space="preserve">ent sections of the supermarket: 42% of those surveyed agree the HSR makes it easier to compare products that are in different sections of the supermarket. This issue of how the HSR can be used has not yet been </w:t>
      </w:r>
      <w:r w:rsidR="00A352BA">
        <w:t>overt</w:t>
      </w:r>
      <w:r w:rsidR="006C0F66">
        <w:t xml:space="preserve">ly </w:t>
      </w:r>
      <w:r>
        <w:t>addressed</w:t>
      </w:r>
      <w:r w:rsidR="00372850">
        <w:t xml:space="preserve"> in campaign messaging</w:t>
      </w:r>
      <w:r w:rsidR="006C0F66">
        <w:t>, which has</w:t>
      </w:r>
      <w:r w:rsidR="007867A5">
        <w:t xml:space="preserve"> </w:t>
      </w:r>
      <w:r w:rsidR="00A352BA">
        <w:t xml:space="preserve">to date </w:t>
      </w:r>
      <w:r w:rsidR="007867A5">
        <w:t>been</w:t>
      </w:r>
      <w:r w:rsidR="006C0F66">
        <w:t xml:space="preserve"> largely focussed on introducing the system. </w:t>
      </w:r>
      <w:r>
        <w:t xml:space="preserve"> </w:t>
      </w:r>
      <w:r w:rsidR="006C0F66">
        <w:t xml:space="preserve">Future messaging </w:t>
      </w:r>
      <w:r w:rsidRPr="000A07CA">
        <w:t>will need to be address</w:t>
      </w:r>
      <w:r w:rsidR="006C0F66">
        <w:t xml:space="preserve"> appropriate use of HSR</w:t>
      </w:r>
      <w:r w:rsidRPr="000A07CA">
        <w:t xml:space="preserve"> to ensure credibility of the system.</w:t>
      </w:r>
      <w:bookmarkEnd w:id="2"/>
    </w:p>
    <w:p w:rsidR="008B4211" w:rsidRDefault="008B4211" w:rsidP="005A0A18">
      <w:pPr>
        <w:spacing w:after="240"/>
      </w:pPr>
      <w:r>
        <w:t xml:space="preserve">The HSR campaign consisted of </w:t>
      </w:r>
      <w:r w:rsidRPr="00D461EE">
        <w:t>an online pre-roll video, three</w:t>
      </w:r>
      <w:r>
        <w:t xml:space="preserve"> out of home (OOH) executions, five print</w:t>
      </w:r>
      <w:r w:rsidRPr="00D461EE">
        <w:t xml:space="preserve"> </w:t>
      </w:r>
      <w:r>
        <w:t>executions</w:t>
      </w:r>
      <w:r w:rsidRPr="00D461EE">
        <w:t>, and online advertising executions</w:t>
      </w:r>
      <w:r>
        <w:t xml:space="preserve">. Overall, </w:t>
      </w:r>
      <w:r w:rsidRPr="00F91F30">
        <w:t xml:space="preserve">1 in 5 </w:t>
      </w:r>
      <w:r>
        <w:t xml:space="preserve">of the sample </w:t>
      </w:r>
      <w:r w:rsidRPr="00F91F30">
        <w:t xml:space="preserve">(20%) </w:t>
      </w:r>
      <w:r>
        <w:t xml:space="preserve">reported having seen some aspect of the </w:t>
      </w:r>
      <w:r w:rsidRPr="00F91F30">
        <w:t>Government’s HSR campaign.</w:t>
      </w:r>
      <w:r>
        <w:t xml:space="preserve"> Awareness of the campaign was relatively </w:t>
      </w:r>
      <w:r w:rsidR="006C0F66">
        <w:t xml:space="preserve">level </w:t>
      </w:r>
      <w:r>
        <w:t xml:space="preserve">across most population </w:t>
      </w:r>
      <w:r w:rsidR="00261C85">
        <w:t>groups;</w:t>
      </w:r>
      <w:r>
        <w:t xml:space="preserve"> however some demographics were less likely to </w:t>
      </w:r>
      <w:r w:rsidR="004D0A30">
        <w:t xml:space="preserve">have </w:t>
      </w:r>
      <w:r>
        <w:t>see</w:t>
      </w:r>
      <w:r w:rsidR="00B2582B">
        <w:t>n</w:t>
      </w:r>
      <w:r>
        <w:t xml:space="preserve"> the campaign, specifically regional Australians, with campaign recognition being</w:t>
      </w:r>
      <w:r w:rsidR="004D0A30">
        <w:t xml:space="preserve"> </w:t>
      </w:r>
      <w:r>
        <w:t>12%. This is likely lower due to fewer chances to see</w:t>
      </w:r>
      <w:r w:rsidR="00372850">
        <w:t xml:space="preserve"> the campaign than</w:t>
      </w:r>
      <w:r>
        <w:t xml:space="preserve"> Australians living in metro areas</w:t>
      </w:r>
      <w:r w:rsidR="004D0A30">
        <w:t>, specifically the out of home placements</w:t>
      </w:r>
      <w:r>
        <w:t>.</w:t>
      </w:r>
    </w:p>
    <w:p w:rsidR="00B2582B" w:rsidRDefault="008B4211" w:rsidP="005A0A18">
      <w:pPr>
        <w:spacing w:after="240"/>
      </w:pPr>
      <w:r>
        <w:t xml:space="preserve">The </w:t>
      </w:r>
      <w:r w:rsidR="006C0F66">
        <w:t xml:space="preserve">suite of </w:t>
      </w:r>
      <w:r>
        <w:t xml:space="preserve">campaign </w:t>
      </w:r>
      <w:r w:rsidRPr="00F91F30">
        <w:t xml:space="preserve">executions </w:t>
      </w:r>
      <w:r>
        <w:t xml:space="preserve">all performed well in terms of clarity – diagnostic strengths of each </w:t>
      </w:r>
      <w:r w:rsidR="00B2582B">
        <w:t xml:space="preserve">of the advertising materials </w:t>
      </w:r>
      <w:r>
        <w:t xml:space="preserve">were the ease of understanding, and the informative nature of the </w:t>
      </w:r>
      <w:r w:rsidR="002576B0">
        <w:t>executions</w:t>
      </w:r>
      <w:r>
        <w:t>. There is a potential learning for future HSR campaign</w:t>
      </w:r>
      <w:r w:rsidR="004D0A30">
        <w:t xml:space="preserve"> activity</w:t>
      </w:r>
      <w:r>
        <w:t xml:space="preserve"> regarding branding – o</w:t>
      </w:r>
      <w:r w:rsidRPr="00F91F30">
        <w:t>ver half of people surveyed do not know who is behind the campaign</w:t>
      </w:r>
      <w:r>
        <w:t>, with 66% saying ‘don’t know’ when asked who this advertising is from</w:t>
      </w:r>
      <w:r w:rsidR="002576B0">
        <w:t>, with</w:t>
      </w:r>
      <w:r>
        <w:t xml:space="preserve"> </w:t>
      </w:r>
      <w:r w:rsidRPr="00F91F30">
        <w:t>16% mention</w:t>
      </w:r>
      <w:r w:rsidR="002576B0">
        <w:t>ing</w:t>
      </w:r>
      <w:r w:rsidRPr="00F91F30">
        <w:t xml:space="preserve"> the government.</w:t>
      </w:r>
      <w:r>
        <w:t xml:space="preserve"> </w:t>
      </w:r>
    </w:p>
    <w:p w:rsidR="008B4211" w:rsidRPr="00724DA7" w:rsidRDefault="00E02961" w:rsidP="005A0A18">
      <w:pPr>
        <w:spacing w:after="240"/>
      </w:pPr>
      <w:r>
        <w:t>It is possible t</w:t>
      </w:r>
      <w:r w:rsidR="008B4211">
        <w:t xml:space="preserve">he low understanding of who is behind this campaign is contributing to some confusion regarding the message of the campaign. When asked what </w:t>
      </w:r>
      <w:r w:rsidR="00D84650">
        <w:t>the campaign message is</w:t>
      </w:r>
      <w:r w:rsidR="008B4211">
        <w:t xml:space="preserve">, </w:t>
      </w:r>
      <w:r w:rsidR="008B4211" w:rsidRPr="00724DA7">
        <w:t xml:space="preserve">message </w:t>
      </w:r>
      <w:r w:rsidR="008B4211">
        <w:t>take</w:t>
      </w:r>
      <w:r w:rsidR="006C0F66">
        <w:t>-</w:t>
      </w:r>
      <w:r w:rsidR="008B4211">
        <w:t>out is generally on target</w:t>
      </w:r>
      <w:r w:rsidR="008B4211" w:rsidRPr="00724DA7">
        <w:t xml:space="preserve"> </w:t>
      </w:r>
      <w:r w:rsidR="008B4211">
        <w:t>as most people understand</w:t>
      </w:r>
      <w:r w:rsidR="008B4211" w:rsidRPr="00724DA7">
        <w:t xml:space="preserve"> the objective </w:t>
      </w:r>
      <w:r w:rsidR="008B4211">
        <w:t>is to help make</w:t>
      </w:r>
      <w:r w:rsidR="008B4211" w:rsidRPr="00724DA7">
        <w:t xml:space="preserve"> health</w:t>
      </w:r>
      <w:r w:rsidR="004D0A30">
        <w:t>ier</w:t>
      </w:r>
      <w:r w:rsidR="008B4211" w:rsidRPr="00724DA7">
        <w:t xml:space="preserve"> choices</w:t>
      </w:r>
      <w:r w:rsidR="008B4211">
        <w:t>, however there are some who believe the campaign is advocating purchasing packaged food: specifically 15% agree that ads in this campaign communicate that you should buy packaged foods instead of unpackaged foods.</w:t>
      </w:r>
    </w:p>
    <w:p w:rsidR="008B4211" w:rsidRDefault="000F2941" w:rsidP="005A0A18">
      <w:pPr>
        <w:spacing w:after="240"/>
      </w:pPr>
      <w:r>
        <w:t>Despite this</w:t>
      </w:r>
      <w:r w:rsidR="00E02961">
        <w:t xml:space="preserve"> small amount of</w:t>
      </w:r>
      <w:r w:rsidR="008B4211">
        <w:t xml:space="preserve"> confusion regarding campaign branding and messaging, the overall campaign impact is very positive. Those who have seen the campaign have a significantly higher awareness of the HSR system (68% vs. 42%), and a significantly higher understanding of how to accurately use the system (71% vs. 64%).</w:t>
      </w:r>
    </w:p>
    <w:p w:rsidR="008B4211" w:rsidRDefault="008B4211" w:rsidP="005A0A18">
      <w:pPr>
        <w:spacing w:after="240"/>
      </w:pPr>
      <w:r>
        <w:lastRenderedPageBreak/>
        <w:t xml:space="preserve">As well as driving awareness and understanding of the HSR system, the campaign has had a very strong </w:t>
      </w:r>
      <w:r w:rsidR="003B7FEB">
        <w:t xml:space="preserve">response to the </w:t>
      </w:r>
      <w:r>
        <w:t>call to action. Of those who saw the campaign, 77% have carried out at least one of the behavioural objectives of the campaign (only 23% selected ‘none of these’ for the call to action question). The strongest outcomes are for using the HSR in store, and trying to eat healthier.</w:t>
      </w:r>
    </w:p>
    <w:p w:rsidR="008B4211" w:rsidRDefault="008B4211" w:rsidP="005A0A18">
      <w:pPr>
        <w:spacing w:after="240"/>
      </w:pPr>
      <w:r w:rsidRPr="00F91F30">
        <w:t xml:space="preserve">The </w:t>
      </w:r>
      <w:r>
        <w:t xml:space="preserve">strengths of the </w:t>
      </w:r>
      <w:r w:rsidRPr="00F91F30">
        <w:t>HSR</w:t>
      </w:r>
      <w:r>
        <w:t xml:space="preserve"> system</w:t>
      </w:r>
      <w:r w:rsidRPr="00F91F30">
        <w:t xml:space="preserve"> remain </w:t>
      </w:r>
      <w:r>
        <w:t xml:space="preserve">the </w:t>
      </w:r>
      <w:r w:rsidRPr="00F91F30">
        <w:t xml:space="preserve">clarity </w:t>
      </w:r>
      <w:r>
        <w:t xml:space="preserve">of the system, with high levels of </w:t>
      </w:r>
      <w:r w:rsidR="000F2941">
        <w:t xml:space="preserve">agreement </w:t>
      </w:r>
      <w:r>
        <w:t>with statements such as ‘</w:t>
      </w:r>
      <w:r w:rsidRPr="00F91F30">
        <w:t>makes it easier t</w:t>
      </w:r>
      <w:r>
        <w:t>o identify the healthier option’</w:t>
      </w:r>
      <w:r w:rsidRPr="00F91F30">
        <w:t xml:space="preserve"> </w:t>
      </w:r>
      <w:r>
        <w:t>(</w:t>
      </w:r>
      <w:r w:rsidRPr="00F91F30">
        <w:t xml:space="preserve">70% agree) and </w:t>
      </w:r>
      <w:r>
        <w:t>‘</w:t>
      </w:r>
      <w:r w:rsidRPr="00F91F30">
        <w:t>easy to understand</w:t>
      </w:r>
      <w:r>
        <w:t>’</w:t>
      </w:r>
      <w:r w:rsidRPr="00F91F30">
        <w:t xml:space="preserve"> (66% agree). </w:t>
      </w:r>
      <w:r>
        <w:t>The HSR campaign is having a positive impact on these already high metrics, with both statements scoring 76% level of agree</w:t>
      </w:r>
      <w:r w:rsidR="003B7FEB">
        <w:t>ment</w:t>
      </w:r>
      <w:r>
        <w:t xml:space="preserve"> among those who saw the campaign. Campaign recognisers are also </w:t>
      </w:r>
      <w:r w:rsidRPr="00F91F30">
        <w:t xml:space="preserve">considerably more likely to </w:t>
      </w:r>
      <w:r>
        <w:t>agree the HSR is a system they trust (55% vs. 37%) and that the HSR is believable (65% vs. 48%). These higher scores, coupled with higher levels of awareness and understanding, are likely impacting on the higher levels of action when it comes to buying healthier food</w:t>
      </w:r>
      <w:r w:rsidR="002576B0">
        <w:t xml:space="preserve">. This is reflected in the </w:t>
      </w:r>
      <w:r>
        <w:t>much higher levels of agree</w:t>
      </w:r>
      <w:r w:rsidR="003B7FEB">
        <w:t>ment</w:t>
      </w:r>
      <w:r>
        <w:t xml:space="preserve"> regarding ‘makes choosing foods easier’ (52% vs. 42%), helps </w:t>
      </w:r>
      <w:r w:rsidR="00EB50E4">
        <w:t>m</w:t>
      </w:r>
      <w:r>
        <w:t>e make decisions about which foods to buy (68% vs. 58%), and makes it easier for me to identify the healthier option (76% vs. 70%).</w:t>
      </w:r>
    </w:p>
    <w:p w:rsidR="00C8417A" w:rsidRDefault="00B71897" w:rsidP="005A0A18">
      <w:pPr>
        <w:spacing w:after="240"/>
      </w:pPr>
      <w:r>
        <w:t>Overall, awareness and understanding of the HSR system has significantly increased since April 2015, with 42% of Australians now aware of the HSR, and 64% understanding how to use the system.</w:t>
      </w:r>
      <w:r w:rsidRPr="00C92F63">
        <w:t xml:space="preserve"> </w:t>
      </w:r>
      <w:r>
        <w:t xml:space="preserve">The HSR is creating positive behaviour change, with 33% of those aware of the HSR having bought </w:t>
      </w:r>
      <w:r w:rsidRPr="00FF1DCB">
        <w:t xml:space="preserve">a </w:t>
      </w:r>
      <w:r>
        <w:t xml:space="preserve">new product that has </w:t>
      </w:r>
      <w:r w:rsidRPr="00FF1DCB">
        <w:t xml:space="preserve">a higher HSR than their </w:t>
      </w:r>
      <w:r w:rsidR="00C07268">
        <w:t>usual</w:t>
      </w:r>
      <w:r>
        <w:t xml:space="preserve"> </w:t>
      </w:r>
      <w:r w:rsidRPr="00FF1DCB">
        <w:t>product</w:t>
      </w:r>
      <w:r>
        <w:t>.</w:t>
      </w:r>
    </w:p>
    <w:p w:rsidR="00B71897" w:rsidRPr="00F91F30" w:rsidRDefault="00C8417A" w:rsidP="005A0A18">
      <w:pPr>
        <w:spacing w:after="240"/>
      </w:pPr>
      <w:r>
        <w:t xml:space="preserve">The HSR campaign performed well, with 20% having seen at least one aspect of the campaign. This is an especially notable result given the relatively small media spend associated with the campaign. All campaign executions are perceived as clear and easy to understand, and are </w:t>
      </w:r>
      <w:r w:rsidR="00B71897">
        <w:t>driving awareness and understanding</w:t>
      </w:r>
      <w:r>
        <w:t xml:space="preserve"> of the HSR system. The campaign also has</w:t>
      </w:r>
      <w:r w:rsidR="00B71897">
        <w:t xml:space="preserve"> a strong call to action – resulting in 77% of those who saw the campaign carrying out at least one of the behavioural objectives of the campaign.</w:t>
      </w:r>
    </w:p>
    <w:p w:rsidR="008B4211" w:rsidRDefault="008B4211" w:rsidP="007919C3">
      <w:pPr>
        <w:spacing w:after="0" w:line="240" w:lineRule="auto"/>
        <w:rPr>
          <w:rFonts w:cs="Arial"/>
          <w:bCs/>
          <w:color w:val="000000" w:themeColor="text1"/>
          <w:kern w:val="28"/>
          <w:sz w:val="30"/>
          <w:szCs w:val="32"/>
          <w:u w:val="single"/>
        </w:rPr>
      </w:pPr>
      <w:r>
        <w:br w:type="page"/>
      </w:r>
    </w:p>
    <w:p w:rsidR="001247B4" w:rsidRDefault="00B53731" w:rsidP="00E02961">
      <w:pPr>
        <w:pStyle w:val="Heading1"/>
        <w:tabs>
          <w:tab w:val="left" w:pos="7938"/>
        </w:tabs>
      </w:pPr>
      <w:bookmarkStart w:id="3" w:name="_Toc435088752"/>
      <w:r w:rsidRPr="00D5583F">
        <w:lastRenderedPageBreak/>
        <w:t>Key Findings</w:t>
      </w:r>
      <w:r>
        <w:t xml:space="preserve"> </w:t>
      </w:r>
      <w:proofErr w:type="gramStart"/>
      <w:r>
        <w:t>And</w:t>
      </w:r>
      <w:proofErr w:type="gramEnd"/>
      <w:r>
        <w:t xml:space="preserve"> Results</w:t>
      </w:r>
      <w:bookmarkEnd w:id="3"/>
      <w:r w:rsidR="00077948">
        <w:tab/>
      </w:r>
    </w:p>
    <w:p w:rsidR="003347D8" w:rsidRDefault="003347D8" w:rsidP="003347D8">
      <w:pPr>
        <w:pStyle w:val="Heading2"/>
      </w:pPr>
      <w:bookmarkStart w:id="4" w:name="_Toc435088753"/>
      <w:r>
        <w:t xml:space="preserve">The </w:t>
      </w:r>
      <w:r w:rsidR="001247B4">
        <w:t xml:space="preserve">Health Star Rating </w:t>
      </w:r>
      <w:r>
        <w:t>System</w:t>
      </w:r>
      <w:bookmarkEnd w:id="4"/>
    </w:p>
    <w:p w:rsidR="00A05DFB" w:rsidRDefault="00C13AF8" w:rsidP="00C13AF8">
      <w:pPr>
        <w:spacing w:after="240"/>
      </w:pPr>
      <w:r w:rsidRPr="00C13AF8">
        <w:rPr>
          <w:b/>
        </w:rPr>
        <w:t>Awareness and understanding of the H</w:t>
      </w:r>
      <w:r w:rsidR="00A05DFB">
        <w:rPr>
          <w:b/>
        </w:rPr>
        <w:t xml:space="preserve">ealth </w:t>
      </w:r>
      <w:r w:rsidRPr="00C13AF8">
        <w:rPr>
          <w:b/>
        </w:rPr>
        <w:t>S</w:t>
      </w:r>
      <w:r w:rsidR="00A05DFB">
        <w:rPr>
          <w:b/>
        </w:rPr>
        <w:t xml:space="preserve">tar </w:t>
      </w:r>
      <w:r w:rsidRPr="00C13AF8">
        <w:rPr>
          <w:b/>
        </w:rPr>
        <w:t>R</w:t>
      </w:r>
      <w:r w:rsidR="00A05DFB">
        <w:rPr>
          <w:b/>
        </w:rPr>
        <w:t>ating (HSR)</w:t>
      </w:r>
      <w:r w:rsidRPr="00C13AF8">
        <w:rPr>
          <w:b/>
        </w:rPr>
        <w:t xml:space="preserve"> has significantly increased since April 2015</w:t>
      </w:r>
    </w:p>
    <w:p w:rsidR="00C13AF8" w:rsidRDefault="00A05DFB" w:rsidP="00DA6F0E">
      <w:pPr>
        <w:spacing w:before="240" w:after="240"/>
        <w:ind w:left="720"/>
      </w:pPr>
      <w:r>
        <w:t>A</w:t>
      </w:r>
      <w:r w:rsidR="00C13AF8" w:rsidRPr="00C13AF8">
        <w:t>wareness has reached 42% (up from 33%), and accurate understanding of the HS</w:t>
      </w:r>
      <w:r w:rsidR="00AB0405">
        <w:t xml:space="preserve">R has reached 64% (up from 49%), with the proportion of Australians who say that they ‘don’t know’ how they would use the HSR’ having significantly declined since April 2015, from 31% to 22%. </w:t>
      </w:r>
    </w:p>
    <w:p w:rsidR="005B5FE0" w:rsidRDefault="00537F06" w:rsidP="00C13AF8">
      <w:pPr>
        <w:spacing w:after="240"/>
        <w:rPr>
          <w:b/>
        </w:rPr>
      </w:pPr>
      <w:r w:rsidRPr="00F853FC">
        <w:rPr>
          <w:b/>
        </w:rPr>
        <w:t xml:space="preserve">Likelihood to use the HSR </w:t>
      </w:r>
      <w:r w:rsidR="00F853FC" w:rsidRPr="00F853FC">
        <w:rPr>
          <w:b/>
        </w:rPr>
        <w:t xml:space="preserve">on a regular basis </w:t>
      </w:r>
      <w:r w:rsidRPr="00F853FC">
        <w:rPr>
          <w:b/>
        </w:rPr>
        <w:t>has increased</w:t>
      </w:r>
    </w:p>
    <w:p w:rsidR="00537F06" w:rsidRDefault="00E6724B" w:rsidP="005B5FE0">
      <w:pPr>
        <w:spacing w:after="240"/>
        <w:ind w:left="720"/>
      </w:pPr>
      <w:r>
        <w:t xml:space="preserve">This has shifted from </w:t>
      </w:r>
      <w:r w:rsidR="00537F06">
        <w:t xml:space="preserve">40% in April </w:t>
      </w:r>
      <w:r w:rsidR="00F853FC">
        <w:t xml:space="preserve">2015 </w:t>
      </w:r>
      <w:r w:rsidR="00537F06">
        <w:t xml:space="preserve">to </w:t>
      </w:r>
      <w:r w:rsidR="00F853FC">
        <w:t>47% in September 2015, with recorded levels of negativity being very low (7%).</w:t>
      </w:r>
    </w:p>
    <w:p w:rsidR="00C9582A" w:rsidRPr="00C9582A" w:rsidRDefault="00575A9C" w:rsidP="00C9582A">
      <w:pPr>
        <w:spacing w:after="240"/>
        <w:rPr>
          <w:b/>
        </w:rPr>
      </w:pPr>
      <w:r>
        <w:rPr>
          <w:b/>
        </w:rPr>
        <w:t>The</w:t>
      </w:r>
      <w:r w:rsidR="00140A02">
        <w:rPr>
          <w:b/>
        </w:rPr>
        <w:t xml:space="preserve"> majority</w:t>
      </w:r>
      <w:r w:rsidR="00140A02" w:rsidRPr="00C9582A">
        <w:rPr>
          <w:b/>
        </w:rPr>
        <w:t xml:space="preserve"> </w:t>
      </w:r>
      <w:r>
        <w:rPr>
          <w:b/>
        </w:rPr>
        <w:t xml:space="preserve">of </w:t>
      </w:r>
      <w:r w:rsidR="00C9582A" w:rsidRPr="00C9582A">
        <w:rPr>
          <w:b/>
        </w:rPr>
        <w:t>people want to see the HSR on pack</w:t>
      </w:r>
      <w:r w:rsidR="00560E1D">
        <w:rPr>
          <w:b/>
        </w:rPr>
        <w:t>aged foods</w:t>
      </w:r>
    </w:p>
    <w:p w:rsidR="00C9582A" w:rsidRDefault="00C9582A" w:rsidP="00C9582A">
      <w:pPr>
        <w:spacing w:after="240"/>
        <w:ind w:left="720"/>
      </w:pPr>
      <w:r w:rsidRPr="006439CA">
        <w:t xml:space="preserve">When </w:t>
      </w:r>
      <w:r>
        <w:t>asked about how many products they would like to see HSR on</w:t>
      </w:r>
      <w:r w:rsidRPr="006439CA">
        <w:t>,</w:t>
      </w:r>
      <w:r>
        <w:t xml:space="preserve"> 62% stated they would like the HSR on more products.</w:t>
      </w:r>
    </w:p>
    <w:p w:rsidR="00F853FC" w:rsidRPr="00F853FC" w:rsidRDefault="00F853FC" w:rsidP="00C13AF8">
      <w:pPr>
        <w:spacing w:after="240"/>
        <w:rPr>
          <w:b/>
        </w:rPr>
      </w:pPr>
      <w:r w:rsidRPr="00F853FC">
        <w:rPr>
          <w:b/>
        </w:rPr>
        <w:t xml:space="preserve">The HSR is </w:t>
      </w:r>
      <w:r w:rsidR="00690CEF">
        <w:rPr>
          <w:b/>
        </w:rPr>
        <w:t>crea</w:t>
      </w:r>
      <w:r w:rsidR="00140A02">
        <w:rPr>
          <w:b/>
        </w:rPr>
        <w:t>s</w:t>
      </w:r>
      <w:r w:rsidR="00690CEF">
        <w:rPr>
          <w:b/>
        </w:rPr>
        <w:t>ing</w:t>
      </w:r>
      <w:r w:rsidRPr="00F853FC">
        <w:rPr>
          <w:b/>
        </w:rPr>
        <w:t xml:space="preserve"> positive behaviour change.</w:t>
      </w:r>
    </w:p>
    <w:p w:rsidR="00F853FC" w:rsidRPr="00F853FC" w:rsidRDefault="00F853FC" w:rsidP="00F853FC">
      <w:pPr>
        <w:spacing w:after="240"/>
        <w:ind w:left="720"/>
      </w:pPr>
      <w:r>
        <w:t xml:space="preserve">Of those aware of the HSR, </w:t>
      </w:r>
      <w:r w:rsidRPr="00F853FC">
        <w:rPr>
          <w:b/>
        </w:rPr>
        <w:t>33% have bought a new product because it had a higher HSR than their usual product</w:t>
      </w:r>
      <w:r w:rsidR="002451F9">
        <w:rPr>
          <w:b/>
        </w:rPr>
        <w:t xml:space="preserve"> (14% among the total sample)</w:t>
      </w:r>
      <w:r>
        <w:rPr>
          <w:b/>
        </w:rPr>
        <w:t xml:space="preserve">. </w:t>
      </w:r>
      <w:r>
        <w:t xml:space="preserve">This is even higher among those who </w:t>
      </w:r>
      <w:r w:rsidR="007523D1">
        <w:t>are aware of HSR and had also seen the campaign</w:t>
      </w:r>
      <w:r w:rsidR="0043466C">
        <w:t>,</w:t>
      </w:r>
      <w:r w:rsidR="00576335">
        <w:t xml:space="preserve"> at</w:t>
      </w:r>
      <w:r>
        <w:t xml:space="preserve"> 47% </w:t>
      </w:r>
      <w:r w:rsidR="002451F9">
        <w:t>(</w:t>
      </w:r>
      <w:r w:rsidR="007523D1">
        <w:t xml:space="preserve">representing </w:t>
      </w:r>
      <w:r w:rsidR="002451F9">
        <w:t xml:space="preserve">7% of the total sample) </w:t>
      </w:r>
      <w:r>
        <w:t>buying a new product because it had a higher HSR than their usual product.</w:t>
      </w:r>
    </w:p>
    <w:p w:rsidR="00537F06" w:rsidRDefault="00F853FC" w:rsidP="00C13AF8">
      <w:pPr>
        <w:spacing w:after="240"/>
        <w:rPr>
          <w:b/>
        </w:rPr>
      </w:pPr>
      <w:r w:rsidRPr="00F853FC">
        <w:rPr>
          <w:b/>
        </w:rPr>
        <w:t xml:space="preserve">This appears to be lasting behaviour change, </w:t>
      </w:r>
      <w:r>
        <w:rPr>
          <w:b/>
        </w:rPr>
        <w:t xml:space="preserve">which is </w:t>
      </w:r>
      <w:r w:rsidRPr="00F853FC">
        <w:rPr>
          <w:b/>
        </w:rPr>
        <w:t>the ultimate objective</w:t>
      </w:r>
      <w:r>
        <w:rPr>
          <w:b/>
        </w:rPr>
        <w:t>.</w:t>
      </w:r>
    </w:p>
    <w:p w:rsidR="00F853FC" w:rsidRPr="00F853FC" w:rsidRDefault="00F853FC" w:rsidP="00A05DFB">
      <w:pPr>
        <w:spacing w:after="240"/>
        <w:ind w:left="720"/>
      </w:pPr>
      <w:r>
        <w:t xml:space="preserve">Of those who have bought a new product because it had a higher HSR than their usual product, </w:t>
      </w:r>
      <w:r w:rsidRPr="00F853FC">
        <w:rPr>
          <w:b/>
        </w:rPr>
        <w:t xml:space="preserve">73% have continued to buy this new product with a higher HSR </w:t>
      </w:r>
      <w:r w:rsidR="003C6954">
        <w:rPr>
          <w:b/>
        </w:rPr>
        <w:t>(10% of the total sample)</w:t>
      </w:r>
      <w:r>
        <w:t>. Again, this figure is higher among those who have seen the campaign at 84%</w:t>
      </w:r>
      <w:r w:rsidR="003C6954">
        <w:t xml:space="preserve"> (</w:t>
      </w:r>
      <w:r w:rsidR="007523D1">
        <w:t xml:space="preserve">representing </w:t>
      </w:r>
      <w:r w:rsidR="003C6954">
        <w:t>5% of the total sample)</w:t>
      </w:r>
      <w:r>
        <w:t>.</w:t>
      </w:r>
    </w:p>
    <w:p w:rsidR="003347D8" w:rsidRDefault="003347D8" w:rsidP="003347D8">
      <w:pPr>
        <w:pStyle w:val="Heading2"/>
      </w:pPr>
      <w:bookmarkStart w:id="5" w:name="_Toc435088754"/>
      <w:r>
        <w:t>The Campaign</w:t>
      </w:r>
      <w:bookmarkEnd w:id="5"/>
    </w:p>
    <w:p w:rsidR="0091047F" w:rsidRDefault="00C13AF8" w:rsidP="00C13AF8">
      <w:pPr>
        <w:spacing w:after="240"/>
        <w:rPr>
          <w:b/>
        </w:rPr>
      </w:pPr>
      <w:r w:rsidRPr="00C13AF8">
        <w:rPr>
          <w:b/>
        </w:rPr>
        <w:t xml:space="preserve">1 in 5 Australians </w:t>
      </w:r>
      <w:r>
        <w:rPr>
          <w:b/>
        </w:rPr>
        <w:t xml:space="preserve">(20%) </w:t>
      </w:r>
      <w:r w:rsidRPr="00C13AF8">
        <w:rPr>
          <w:b/>
        </w:rPr>
        <w:t>have seen the Government’s HSR campaign</w:t>
      </w:r>
      <w:r w:rsidR="0091047F">
        <w:rPr>
          <w:b/>
        </w:rPr>
        <w:t>.</w:t>
      </w:r>
    </w:p>
    <w:p w:rsidR="00C13AF8" w:rsidRPr="00C13AF8" w:rsidRDefault="0091047F" w:rsidP="0091047F">
      <w:pPr>
        <w:spacing w:after="240"/>
        <w:ind w:left="720"/>
      </w:pPr>
      <w:r>
        <w:t>A</w:t>
      </w:r>
      <w:r w:rsidR="00C13AF8" w:rsidRPr="00C13AF8">
        <w:t xml:space="preserve">wareness levels are </w:t>
      </w:r>
      <w:r w:rsidR="00140A02">
        <w:t>relatively</w:t>
      </w:r>
      <w:r w:rsidR="00140A02" w:rsidRPr="00C13AF8">
        <w:t xml:space="preserve"> </w:t>
      </w:r>
      <w:r w:rsidR="00C13AF8" w:rsidRPr="00C13AF8">
        <w:t xml:space="preserve">even across </w:t>
      </w:r>
      <w:r w:rsidR="00D247C3">
        <w:t>the population</w:t>
      </w:r>
      <w:r w:rsidR="00C13AF8" w:rsidRPr="00C13AF8">
        <w:t>.</w:t>
      </w:r>
      <w:r w:rsidR="00C13AF8">
        <w:t xml:space="preserve"> </w:t>
      </w:r>
      <w:r w:rsidR="00C13AF8" w:rsidRPr="00C13AF8">
        <w:t xml:space="preserve">All </w:t>
      </w:r>
      <w:r w:rsidR="00A57FB8">
        <w:t xml:space="preserve">campaign </w:t>
      </w:r>
      <w:r w:rsidR="00C13AF8" w:rsidRPr="00C13AF8">
        <w:t>executions are clear, easy to understand and informative</w:t>
      </w:r>
      <w:r w:rsidR="00A05DFB">
        <w:t>.</w:t>
      </w:r>
    </w:p>
    <w:p w:rsidR="007523D1" w:rsidRDefault="007523D1">
      <w:pPr>
        <w:spacing w:after="0" w:line="240" w:lineRule="auto"/>
        <w:rPr>
          <w:b/>
        </w:rPr>
      </w:pPr>
      <w:r>
        <w:rPr>
          <w:b/>
        </w:rPr>
        <w:br w:type="page"/>
      </w:r>
    </w:p>
    <w:p w:rsidR="00F853FC" w:rsidRDefault="00F853FC" w:rsidP="00F853FC">
      <w:pPr>
        <w:spacing w:after="240"/>
      </w:pPr>
      <w:r w:rsidRPr="00C13AF8">
        <w:rPr>
          <w:b/>
        </w:rPr>
        <w:lastRenderedPageBreak/>
        <w:t>Overall impact of the campaign is very positive</w:t>
      </w:r>
      <w:r>
        <w:t>.</w:t>
      </w:r>
    </w:p>
    <w:p w:rsidR="00F853FC" w:rsidRPr="00C13AF8" w:rsidRDefault="00F853FC" w:rsidP="00F853FC">
      <w:pPr>
        <w:spacing w:after="240"/>
        <w:ind w:left="720"/>
      </w:pPr>
      <w:r>
        <w:t>T</w:t>
      </w:r>
      <w:r w:rsidRPr="00C13AF8">
        <w:t xml:space="preserve">hose who have seen the campaign have significantly higher awareness </w:t>
      </w:r>
      <w:r w:rsidR="007523D1">
        <w:t xml:space="preserve">of HSR </w:t>
      </w:r>
      <w:r w:rsidRPr="00C13AF8">
        <w:t>and understanding of how to accurately use the</w:t>
      </w:r>
      <w:r w:rsidR="007523D1">
        <w:t xml:space="preserve"> HSR</w:t>
      </w:r>
      <w:r w:rsidRPr="00C13AF8">
        <w:t xml:space="preserve"> system</w:t>
      </w:r>
      <w:r w:rsidR="00822D79">
        <w:t xml:space="preserve"> than other respondents</w:t>
      </w:r>
      <w:r w:rsidR="00181F89">
        <w:t xml:space="preserve"> </w:t>
      </w:r>
    </w:p>
    <w:p w:rsidR="00F853FC" w:rsidRDefault="00F853FC" w:rsidP="00C13AF8">
      <w:pPr>
        <w:spacing w:after="240"/>
        <w:rPr>
          <w:b/>
        </w:rPr>
      </w:pPr>
      <w:r>
        <w:rPr>
          <w:b/>
        </w:rPr>
        <w:t>The</w:t>
      </w:r>
      <w:r w:rsidR="00A05DFB">
        <w:rPr>
          <w:b/>
        </w:rPr>
        <w:t>re has been a</w:t>
      </w:r>
      <w:r>
        <w:rPr>
          <w:b/>
        </w:rPr>
        <w:t xml:space="preserve"> very strong</w:t>
      </w:r>
      <w:r w:rsidR="00A05DFB">
        <w:rPr>
          <w:b/>
        </w:rPr>
        <w:t xml:space="preserve"> response to the</w:t>
      </w:r>
      <w:r>
        <w:rPr>
          <w:b/>
        </w:rPr>
        <w:t xml:space="preserve"> </w:t>
      </w:r>
      <w:r w:rsidR="00A05DFB">
        <w:rPr>
          <w:b/>
        </w:rPr>
        <w:t xml:space="preserve">campaign </w:t>
      </w:r>
      <w:r>
        <w:rPr>
          <w:b/>
        </w:rPr>
        <w:t>call to action.</w:t>
      </w:r>
    </w:p>
    <w:p w:rsidR="00F853FC" w:rsidRPr="00F853FC" w:rsidRDefault="00F853FC" w:rsidP="00A05DFB">
      <w:pPr>
        <w:spacing w:after="240"/>
        <w:ind w:left="720"/>
      </w:pPr>
      <w:r>
        <w:t xml:space="preserve">77% of people who have seen the campaign have carried out at least one of </w:t>
      </w:r>
      <w:r w:rsidR="00863EE8">
        <w:t xml:space="preserve">the behavioural </w:t>
      </w:r>
      <w:r>
        <w:t>objective</w:t>
      </w:r>
      <w:r w:rsidR="00863EE8">
        <w:t>s</w:t>
      </w:r>
      <w:r>
        <w:t xml:space="preserve"> of the campaign: using the HSR in store and trying to eat healthier are the strongest outcomes.</w:t>
      </w:r>
    </w:p>
    <w:p w:rsidR="00F853FC" w:rsidRPr="00F853FC" w:rsidRDefault="00F853FC" w:rsidP="00F853FC">
      <w:pPr>
        <w:spacing w:after="240"/>
        <w:rPr>
          <w:b/>
        </w:rPr>
      </w:pPr>
      <w:r w:rsidRPr="00F853FC">
        <w:rPr>
          <w:b/>
        </w:rPr>
        <w:t xml:space="preserve">The HSR is </w:t>
      </w:r>
      <w:r w:rsidR="00362875">
        <w:rPr>
          <w:b/>
        </w:rPr>
        <w:t xml:space="preserve">creating </w:t>
      </w:r>
      <w:r>
        <w:rPr>
          <w:b/>
        </w:rPr>
        <w:t xml:space="preserve">lasting </w:t>
      </w:r>
      <w:r w:rsidRPr="00F853FC">
        <w:rPr>
          <w:b/>
        </w:rPr>
        <w:t>positive behaviour change.</w:t>
      </w:r>
    </w:p>
    <w:p w:rsidR="00F853FC" w:rsidRPr="00F853FC" w:rsidRDefault="00F853FC" w:rsidP="00F853FC">
      <w:pPr>
        <w:spacing w:after="240"/>
        <w:ind w:left="720"/>
      </w:pPr>
      <w:r>
        <w:t xml:space="preserve">47% of those who were aware of the HSR </w:t>
      </w:r>
      <w:r w:rsidR="00072000">
        <w:t xml:space="preserve">and saw the campaign </w:t>
      </w:r>
      <w:r>
        <w:t>have bought a new product because it had a higher HSR than their usual product. Of this group, 84% have continued to buy this new product</w:t>
      </w:r>
      <w:r w:rsidR="00140A02">
        <w:t xml:space="preserve"> (5% of total sample)</w:t>
      </w:r>
      <w:r>
        <w:t>.</w:t>
      </w:r>
    </w:p>
    <w:p w:rsidR="003F0467" w:rsidRDefault="00863EE8" w:rsidP="00C13AF8">
      <w:pPr>
        <w:spacing w:after="240"/>
      </w:pPr>
      <w:r>
        <w:rPr>
          <w:b/>
        </w:rPr>
        <w:t>Over half of p</w:t>
      </w:r>
      <w:r w:rsidR="00C13AF8" w:rsidRPr="00C13AF8">
        <w:rPr>
          <w:b/>
        </w:rPr>
        <w:t>eople</w:t>
      </w:r>
      <w:r>
        <w:rPr>
          <w:b/>
        </w:rPr>
        <w:t xml:space="preserve"> surveyed</w:t>
      </w:r>
      <w:r w:rsidR="00C13AF8" w:rsidRPr="00C13AF8">
        <w:rPr>
          <w:b/>
        </w:rPr>
        <w:t xml:space="preserve"> do not know who is behind the campaign</w:t>
      </w:r>
      <w:r w:rsidR="003F0467">
        <w:t>.</w:t>
      </w:r>
    </w:p>
    <w:p w:rsidR="00C13AF8" w:rsidRPr="00C13AF8" w:rsidRDefault="003F0467" w:rsidP="008B4211">
      <w:pPr>
        <w:spacing w:after="240"/>
        <w:ind w:left="720"/>
      </w:pPr>
      <w:r>
        <w:t>W</w:t>
      </w:r>
      <w:r w:rsidR="00C13AF8" w:rsidRPr="00C13AF8">
        <w:t>hen asked who this advertising is from, 66% say ‘don’t know’</w:t>
      </w:r>
      <w:r w:rsidR="003C6954">
        <w:t>, 16% mention the government</w:t>
      </w:r>
      <w:r w:rsidR="00C13AF8" w:rsidRPr="00C13AF8">
        <w:t>.</w:t>
      </w:r>
    </w:p>
    <w:p w:rsidR="00181F89" w:rsidRDefault="00C13AF8" w:rsidP="00C13AF8">
      <w:pPr>
        <w:spacing w:after="240"/>
      </w:pPr>
      <w:r w:rsidRPr="00C13AF8">
        <w:rPr>
          <w:b/>
        </w:rPr>
        <w:t>The</w:t>
      </w:r>
      <w:r w:rsidR="003F0467">
        <w:rPr>
          <w:b/>
        </w:rPr>
        <w:t xml:space="preserve"> HSR</w:t>
      </w:r>
      <w:r w:rsidRPr="00C13AF8">
        <w:rPr>
          <w:b/>
        </w:rPr>
        <w:t xml:space="preserve"> system’s strengths remain its clarity </w:t>
      </w:r>
      <w:r w:rsidR="00C9582A">
        <w:rPr>
          <w:b/>
        </w:rPr>
        <w:t xml:space="preserve">(makes it easier to identify the healthier option: 70% agree) </w:t>
      </w:r>
      <w:r w:rsidRPr="00C13AF8">
        <w:rPr>
          <w:b/>
        </w:rPr>
        <w:t xml:space="preserve">and </w:t>
      </w:r>
      <w:r w:rsidR="00C9582A">
        <w:rPr>
          <w:b/>
        </w:rPr>
        <w:t>that it is easy to understand (66% agree)</w:t>
      </w:r>
      <w:r w:rsidR="00181F89">
        <w:t>.</w:t>
      </w:r>
      <w:r w:rsidRPr="00C13AF8">
        <w:t xml:space="preserve"> </w:t>
      </w:r>
    </w:p>
    <w:p w:rsidR="00C13AF8" w:rsidRPr="00C13AF8" w:rsidRDefault="00181F89" w:rsidP="00181F89">
      <w:pPr>
        <w:spacing w:after="240"/>
        <w:ind w:left="720"/>
      </w:pPr>
      <w:r>
        <w:t>T</w:t>
      </w:r>
      <w:r w:rsidR="00C13AF8" w:rsidRPr="00C13AF8">
        <w:t xml:space="preserve">hese scores </w:t>
      </w:r>
      <w:r>
        <w:t xml:space="preserve">are </w:t>
      </w:r>
      <w:r w:rsidR="00C13AF8" w:rsidRPr="00C13AF8">
        <w:t>significantly higher among campaign recognisers</w:t>
      </w:r>
      <w:r w:rsidR="00C9582A">
        <w:t xml:space="preserve"> (76% for both measures)</w:t>
      </w:r>
      <w:r w:rsidR="00C13AF8" w:rsidRPr="00C13AF8">
        <w:t xml:space="preserve">. Campaign recognisers are considerably more likely to trust and believe the </w:t>
      </w:r>
      <w:r w:rsidR="003F0467">
        <w:t xml:space="preserve">HSR </w:t>
      </w:r>
      <w:r w:rsidR="004473AE">
        <w:t xml:space="preserve">than those who have not seen the campaign, or have not heard of the HSR system </w:t>
      </w:r>
      <w:r w:rsidR="00C9582A">
        <w:t>(55% vs. 37% and 65% vs. 48%, respectively)</w:t>
      </w:r>
      <w:r w:rsidR="00C13AF8" w:rsidRPr="00C13AF8">
        <w:t>, and feel encouraged to make healthier choices.</w:t>
      </w:r>
    </w:p>
    <w:p w:rsidR="00C13AF8" w:rsidRDefault="00C13AF8" w:rsidP="00E955D6">
      <w:pPr>
        <w:spacing w:after="240"/>
        <w:rPr>
          <w:b/>
        </w:rPr>
      </w:pPr>
      <w:r>
        <w:rPr>
          <w:b/>
        </w:rPr>
        <w:t xml:space="preserve">In summary: </w:t>
      </w:r>
      <w:r w:rsidRPr="00C13AF8">
        <w:rPr>
          <w:b/>
        </w:rPr>
        <w:t xml:space="preserve">1 in 5 Australians recognise the HSR campaign, and the campaign has helped drive awareness, understanding and trust in the </w:t>
      </w:r>
      <w:r w:rsidR="003F0467">
        <w:rPr>
          <w:b/>
        </w:rPr>
        <w:t xml:space="preserve">HSR </w:t>
      </w:r>
      <w:r w:rsidRPr="00C13AF8">
        <w:rPr>
          <w:b/>
        </w:rPr>
        <w:t>system</w:t>
      </w:r>
      <w:r w:rsidR="00EE60F6">
        <w:rPr>
          <w:b/>
        </w:rPr>
        <w:t>.</w:t>
      </w:r>
      <w:r w:rsidR="00E955D6">
        <w:rPr>
          <w:b/>
        </w:rPr>
        <w:t xml:space="preserve"> </w:t>
      </w:r>
    </w:p>
    <w:p w:rsidR="00C13AF8" w:rsidRDefault="00C13AF8">
      <w:pPr>
        <w:spacing w:after="0" w:line="240" w:lineRule="auto"/>
        <w:rPr>
          <w:rFonts w:cs="Arial"/>
          <w:bCs/>
          <w:color w:val="872C0F"/>
          <w:kern w:val="28"/>
          <w:sz w:val="30"/>
          <w:szCs w:val="32"/>
          <w:u w:val="single"/>
        </w:rPr>
      </w:pPr>
      <w:r>
        <w:br w:type="page"/>
      </w:r>
    </w:p>
    <w:p w:rsidR="001B514C" w:rsidRPr="00EE2A31" w:rsidRDefault="00B53731" w:rsidP="00EE2A31">
      <w:pPr>
        <w:pStyle w:val="Heading1"/>
        <w:rPr>
          <w:rStyle w:val="IntenseReference"/>
          <w:b w:val="0"/>
          <w:bCs/>
          <w:i w:val="0"/>
          <w:smallCaps w:val="0"/>
          <w:color w:val="000000" w:themeColor="text1"/>
          <w:spacing w:val="0"/>
          <w:u w:val="single"/>
        </w:rPr>
      </w:pPr>
      <w:bookmarkStart w:id="6" w:name="_Toc435088755"/>
      <w:r w:rsidRPr="00EE2A31">
        <w:rPr>
          <w:rStyle w:val="IntenseReference"/>
          <w:b w:val="0"/>
          <w:bCs/>
          <w:i w:val="0"/>
          <w:smallCaps w:val="0"/>
          <w:color w:val="000000" w:themeColor="text1"/>
          <w:spacing w:val="0"/>
          <w:u w:val="single"/>
        </w:rPr>
        <w:lastRenderedPageBreak/>
        <w:t>Research Background &amp; Objectives</w:t>
      </w:r>
      <w:bookmarkEnd w:id="6"/>
    </w:p>
    <w:p w:rsidR="00E37518" w:rsidRPr="002D7A0D" w:rsidRDefault="00E37518" w:rsidP="002D7A0D">
      <w:pPr>
        <w:pStyle w:val="Heading2"/>
      </w:pPr>
      <w:bookmarkStart w:id="7" w:name="_Toc435088756"/>
      <w:r w:rsidRPr="002D7A0D">
        <w:t>Background</w:t>
      </w:r>
      <w:bookmarkEnd w:id="7"/>
    </w:p>
    <w:p w:rsidR="00237B9A" w:rsidRDefault="00237B9A" w:rsidP="00237B9A">
      <w:pPr>
        <w:tabs>
          <w:tab w:val="left" w:pos="5602"/>
        </w:tabs>
        <w:spacing w:line="276" w:lineRule="auto"/>
      </w:pPr>
      <w:r>
        <w:t>The Australian Government Department of Health, in collaboration with the State and Territory Governments, food industry, public health and consumer groups, has developed the Health Star Rating (HSR) system. The HSR is voluntary and is being rolled out across various products and brands</w:t>
      </w:r>
      <w:r w:rsidR="00CE5062">
        <w:t xml:space="preserve"> over a five year period</w:t>
      </w:r>
      <w:r>
        <w:t>.</w:t>
      </w:r>
    </w:p>
    <w:p w:rsidR="0034735D" w:rsidRPr="0034735D" w:rsidRDefault="0034735D" w:rsidP="00404A53">
      <w:r w:rsidRPr="0034735D">
        <w:t xml:space="preserve">The HSR is a clear, simple and easy to interpret nutritional information </w:t>
      </w:r>
      <w:r w:rsidR="00072000">
        <w:t>label</w:t>
      </w:r>
      <w:r w:rsidRPr="0034735D">
        <w:t xml:space="preserve"> on food packaging which has the potential to greatly assist in making healthier food purchases.</w:t>
      </w:r>
    </w:p>
    <w:p w:rsidR="00E37518" w:rsidRDefault="004A563A" w:rsidP="004A563A">
      <w:pPr>
        <w:pStyle w:val="Heading2"/>
      </w:pPr>
      <w:bookmarkStart w:id="8" w:name="_Toc435088757"/>
      <w:r>
        <w:t>Objectives</w:t>
      </w:r>
      <w:bookmarkEnd w:id="8"/>
    </w:p>
    <w:p w:rsidR="0034735D" w:rsidRPr="0034735D" w:rsidRDefault="0034735D" w:rsidP="008B4211">
      <w:r w:rsidRPr="0034735D">
        <w:t xml:space="preserve">This research project was designed to evaluate the Health Star Rating campaign. The findings here build on previous research conducted as a benchmark to measure understanding, </w:t>
      </w:r>
      <w:r w:rsidR="002017F5">
        <w:t>use</w:t>
      </w:r>
      <w:r w:rsidRPr="0034735D">
        <w:t>, consideration and areas for optimisation of the Health Star Rating</w:t>
      </w:r>
      <w:r w:rsidR="002017F5">
        <w:t xml:space="preserve"> campaign</w:t>
      </w:r>
      <w:r w:rsidRPr="0034735D">
        <w:t>.</w:t>
      </w:r>
    </w:p>
    <w:p w:rsidR="0034735D" w:rsidRPr="0034735D" w:rsidRDefault="0034735D" w:rsidP="005A0A18">
      <w:pPr>
        <w:spacing w:before="240"/>
        <w:ind w:left="567"/>
      </w:pPr>
      <w:r w:rsidRPr="0034735D">
        <w:t>This report addresses:</w:t>
      </w:r>
    </w:p>
    <w:p w:rsidR="0034735D" w:rsidRPr="0034735D" w:rsidRDefault="0034735D" w:rsidP="00EE2A31">
      <w:pPr>
        <w:pStyle w:val="ListParagraph"/>
        <w:numPr>
          <w:ilvl w:val="0"/>
          <w:numId w:val="3"/>
        </w:numPr>
      </w:pPr>
      <w:r w:rsidRPr="0034735D">
        <w:t>Awareness and understanding of the Health Star Rating</w:t>
      </w:r>
      <w:r w:rsidR="00863EE8">
        <w:t xml:space="preserve"> system</w:t>
      </w:r>
      <w:r w:rsidR="00072000">
        <w:t>;</w:t>
      </w:r>
    </w:p>
    <w:p w:rsidR="0034735D" w:rsidRPr="0034735D" w:rsidRDefault="0034735D" w:rsidP="00EE2A31">
      <w:pPr>
        <w:pStyle w:val="ListParagraph"/>
        <w:numPr>
          <w:ilvl w:val="0"/>
          <w:numId w:val="3"/>
        </w:numPr>
      </w:pPr>
      <w:r w:rsidRPr="0034735D">
        <w:t>How the campaign has performed in terms of recognition, messaging and diagnostics</w:t>
      </w:r>
      <w:r w:rsidR="00072000">
        <w:t>; and</w:t>
      </w:r>
    </w:p>
    <w:p w:rsidR="00530561" w:rsidRDefault="0034735D" w:rsidP="00EE2A31">
      <w:pPr>
        <w:pStyle w:val="ListParagraph"/>
        <w:numPr>
          <w:ilvl w:val="0"/>
          <w:numId w:val="3"/>
        </w:numPr>
      </w:pPr>
      <w:r w:rsidRPr="0034735D">
        <w:t>What impact the campaign has had on key metrics relating to the success of the Health Star Rating</w:t>
      </w:r>
      <w:r w:rsidR="002017F5">
        <w:t xml:space="preserve"> system</w:t>
      </w:r>
      <w:r w:rsidR="00072000">
        <w:t>.</w:t>
      </w:r>
      <w:r w:rsidR="00530561">
        <w:br w:type="page"/>
      </w:r>
    </w:p>
    <w:p w:rsidR="00530561" w:rsidRDefault="00B53731" w:rsidP="00530561">
      <w:pPr>
        <w:pStyle w:val="Heading1"/>
      </w:pPr>
      <w:bookmarkStart w:id="9" w:name="_Toc435088758"/>
      <w:r>
        <w:lastRenderedPageBreak/>
        <w:t>Methodology</w:t>
      </w:r>
      <w:bookmarkEnd w:id="9"/>
    </w:p>
    <w:p w:rsidR="00530561" w:rsidRDefault="00530561" w:rsidP="005B7F71">
      <w:pPr>
        <w:spacing w:after="0"/>
      </w:pPr>
      <w:r>
        <w:t xml:space="preserve">Results in this report are from the </w:t>
      </w:r>
      <w:r w:rsidR="003F0467">
        <w:t xml:space="preserve">HSR </w:t>
      </w:r>
      <w:r w:rsidR="0034735D">
        <w:t xml:space="preserve">campaign evaluation </w:t>
      </w:r>
      <w:r>
        <w:t>survey</w:t>
      </w:r>
      <w:r w:rsidR="0034735D">
        <w:t>,</w:t>
      </w:r>
      <w:r>
        <w:t xml:space="preserve"> </w:t>
      </w:r>
      <w:r w:rsidR="005550C7">
        <w:t>which</w:t>
      </w:r>
      <w:r w:rsidR="0034735D">
        <w:t xml:space="preserve"> was </w:t>
      </w:r>
      <w:r>
        <w:t xml:space="preserve">conducted in </w:t>
      </w:r>
      <w:r w:rsidR="00863EE8">
        <w:t xml:space="preserve">September </w:t>
      </w:r>
      <w:r>
        <w:t>2015. The survey included qu</w:t>
      </w:r>
      <w:r w:rsidR="00465020">
        <w:t>estions</w:t>
      </w:r>
      <w:r w:rsidR="005550C7">
        <w:t xml:space="preserve"> in common</w:t>
      </w:r>
      <w:r w:rsidR="00465020">
        <w:t xml:space="preserve"> with the HSR c</w:t>
      </w:r>
      <w:r>
        <w:t xml:space="preserve">ampaign </w:t>
      </w:r>
      <w:r w:rsidR="00465020">
        <w:t>evaluation (</w:t>
      </w:r>
      <w:r>
        <w:t>benchmark</w:t>
      </w:r>
      <w:r w:rsidR="00465020">
        <w:t>)</w:t>
      </w:r>
      <w:r>
        <w:t xml:space="preserve"> survey </w:t>
      </w:r>
      <w:r w:rsidR="0034735D">
        <w:t xml:space="preserve">(conducted in September 2014), and the HSR usage and understanding survey (April 2015). </w:t>
      </w:r>
      <w:r>
        <w:t xml:space="preserve">Where relevant, results from the </w:t>
      </w:r>
      <w:r w:rsidR="004B1FAB">
        <w:t xml:space="preserve">surveys have been compared. </w:t>
      </w:r>
    </w:p>
    <w:p w:rsidR="00CB0597" w:rsidRPr="005B7F71" w:rsidRDefault="00530561" w:rsidP="00087421">
      <w:pPr>
        <w:pStyle w:val="Heading2"/>
        <w:spacing w:before="180" w:after="180"/>
        <w:rPr>
          <w:rFonts w:eastAsiaTheme="majorEastAsia"/>
        </w:rPr>
      </w:pPr>
      <w:bookmarkStart w:id="10" w:name="_Toc435088759"/>
      <w:r w:rsidRPr="00CB0597">
        <w:rPr>
          <w:rFonts w:eastAsiaTheme="majorEastAsia"/>
        </w:rPr>
        <w:t>Survey</w:t>
      </w:r>
      <w:bookmarkEnd w:id="10"/>
    </w:p>
    <w:p w:rsidR="00530561" w:rsidRDefault="00EE038D" w:rsidP="00087421">
      <w:r>
        <w:t xml:space="preserve">The research was conducted using a </w:t>
      </w:r>
      <w:r w:rsidR="000C6712">
        <w:t>15 minute online survey, developed by Pollinate in conjunction with the Departm</w:t>
      </w:r>
      <w:r>
        <w:t>ent of Health, and aligned with the survey previously developed to evaluate the HSR camp</w:t>
      </w:r>
      <w:r w:rsidR="001648C4">
        <w:t>a</w:t>
      </w:r>
      <w:r>
        <w:t>ign</w:t>
      </w:r>
      <w:r w:rsidR="000C6712">
        <w:t>.</w:t>
      </w:r>
    </w:p>
    <w:p w:rsidR="00CB0597" w:rsidRPr="00CB0597" w:rsidRDefault="00C71564" w:rsidP="00087421">
      <w:pPr>
        <w:pStyle w:val="Heading2"/>
        <w:spacing w:before="180" w:after="180"/>
        <w:rPr>
          <w:i/>
          <w:color w:val="808080" w:themeColor="text1" w:themeTint="7F"/>
        </w:rPr>
      </w:pPr>
      <w:bookmarkStart w:id="11" w:name="_Toc435088760"/>
      <w:r w:rsidRPr="00CB0597">
        <w:rPr>
          <w:rFonts w:eastAsiaTheme="majorEastAsia"/>
        </w:rPr>
        <w:t>Fieldwork date</w:t>
      </w:r>
      <w:r w:rsidR="000C6712">
        <w:rPr>
          <w:rFonts w:eastAsiaTheme="majorEastAsia"/>
        </w:rPr>
        <w:t>s</w:t>
      </w:r>
      <w:bookmarkEnd w:id="11"/>
    </w:p>
    <w:p w:rsidR="00C71564" w:rsidRPr="00C71564" w:rsidRDefault="00C71564" w:rsidP="000C6712">
      <w:pPr>
        <w:rPr>
          <w:i/>
          <w:iCs/>
          <w:color w:val="808080" w:themeColor="text1" w:themeTint="7F"/>
        </w:rPr>
      </w:pPr>
      <w:r>
        <w:t xml:space="preserve">Survey conducted: </w:t>
      </w:r>
      <w:r w:rsidR="0034735D" w:rsidRPr="0034735D">
        <w:t>31</w:t>
      </w:r>
      <w:r w:rsidR="0034735D" w:rsidRPr="0034735D">
        <w:rPr>
          <w:vertAlign w:val="superscript"/>
        </w:rPr>
        <w:t>st</w:t>
      </w:r>
      <w:r w:rsidR="0034735D" w:rsidRPr="0034735D">
        <w:t xml:space="preserve"> of August to 11</w:t>
      </w:r>
      <w:r w:rsidR="0034735D" w:rsidRPr="0034735D">
        <w:rPr>
          <w:vertAlign w:val="superscript"/>
        </w:rPr>
        <w:t>th</w:t>
      </w:r>
      <w:r w:rsidR="0034735D" w:rsidRPr="0034735D">
        <w:t xml:space="preserve"> of September 2015</w:t>
      </w:r>
      <w:r w:rsidR="006E0E48">
        <w:t>.</w:t>
      </w:r>
    </w:p>
    <w:p w:rsidR="00530561" w:rsidRDefault="0034735D" w:rsidP="000C6712">
      <w:r w:rsidRPr="0034735D">
        <w:t xml:space="preserve">This </w:t>
      </w:r>
      <w:r w:rsidR="005550C7">
        <w:t>wa</w:t>
      </w:r>
      <w:r w:rsidRPr="0034735D">
        <w:t xml:space="preserve">s the third wave of HSR evaluation, with the pre-advertising benchmark wave conducted in September 2014 prior to the launch of the HSR, the campaign and website in December 2014 </w:t>
      </w:r>
      <w:r w:rsidR="005550C7">
        <w:t>and</w:t>
      </w:r>
      <w:r w:rsidRPr="0034735D">
        <w:t xml:space="preserve"> consumer research in April 2015</w:t>
      </w:r>
      <w:r w:rsidR="001648C4">
        <w:t xml:space="preserve">. </w:t>
      </w:r>
    </w:p>
    <w:p w:rsidR="00CB0597" w:rsidRPr="005B7F71" w:rsidRDefault="00C71564" w:rsidP="00087421">
      <w:pPr>
        <w:pStyle w:val="Heading2"/>
        <w:spacing w:before="180" w:after="180"/>
        <w:rPr>
          <w:rFonts w:eastAsiaTheme="majorEastAsia"/>
        </w:rPr>
      </w:pPr>
      <w:bookmarkStart w:id="12" w:name="_Toc435088761"/>
      <w:r w:rsidRPr="00CB0597">
        <w:rPr>
          <w:rFonts w:eastAsiaTheme="majorEastAsia"/>
        </w:rPr>
        <w:t>Sample</w:t>
      </w:r>
      <w:bookmarkEnd w:id="12"/>
    </w:p>
    <w:p w:rsidR="00C71564" w:rsidRDefault="00FB76E7" w:rsidP="000C6712">
      <w:r>
        <w:t>The results are based on a n</w:t>
      </w:r>
      <w:r w:rsidR="00C71564" w:rsidRPr="00C71564">
        <w:t>ationally representative sample of 10</w:t>
      </w:r>
      <w:r w:rsidR="0034735D">
        <w:t>00</w:t>
      </w:r>
      <w:r w:rsidR="00C71564" w:rsidRPr="00C71564">
        <w:t xml:space="preserve"> main/joint grocery buyer</w:t>
      </w:r>
      <w:r>
        <w:t>s</w:t>
      </w:r>
      <w:r w:rsidR="00C71564" w:rsidRPr="00C71564">
        <w:t xml:space="preserve"> </w:t>
      </w:r>
      <w:r w:rsidR="00545F8B">
        <w:t xml:space="preserve">aged 18 years and older </w:t>
      </w:r>
      <w:r w:rsidR="00C71564" w:rsidRPr="00C71564">
        <w:t xml:space="preserve">across Australia with </w:t>
      </w:r>
      <w:r w:rsidR="00D247C3">
        <w:t xml:space="preserve">a population representative </w:t>
      </w:r>
      <w:r w:rsidR="00C71564" w:rsidRPr="00C71564">
        <w:t xml:space="preserve">of Aboriginal and Torres Strait Islander , </w:t>
      </w:r>
      <w:r w:rsidR="005550C7">
        <w:t>C</w:t>
      </w:r>
      <w:r w:rsidR="00C71564" w:rsidRPr="00C71564">
        <w:t>ulturally and Linguistically Diverse (CALD), and low</w:t>
      </w:r>
      <w:r w:rsidR="00DF43CF">
        <w:t xml:space="preserve"> socio-economic status (low SES</w:t>
      </w:r>
      <w:r w:rsidR="00C71564" w:rsidRPr="00C71564">
        <w:t>) people.</w:t>
      </w:r>
      <w:r w:rsidR="00D247C3">
        <w:t xml:space="preserve"> Where base sizes allow, results have been analysed by sub groups.</w:t>
      </w:r>
    </w:p>
    <w:p w:rsidR="00C71564" w:rsidRDefault="00DF43CF" w:rsidP="00886C5B">
      <w:pPr>
        <w:spacing w:after="240"/>
      </w:pPr>
      <w:r>
        <w:t xml:space="preserve">Table 1 provides </w:t>
      </w:r>
      <w:r w:rsidR="00C117DD">
        <w:t>details</w:t>
      </w:r>
      <w:r>
        <w:t xml:space="preserve"> of the sample</w:t>
      </w:r>
      <w:r w:rsidR="00C71564">
        <w:t xml:space="preserve">. </w:t>
      </w:r>
    </w:p>
    <w:p w:rsidR="00626074" w:rsidRDefault="00626074" w:rsidP="005A0A18">
      <w:pPr>
        <w:pStyle w:val="Caption"/>
        <w:spacing w:after="120"/>
      </w:pPr>
      <w:r w:rsidRPr="00E955D6">
        <w:t xml:space="preserve">Table </w:t>
      </w:r>
      <w:fldSimple w:instr=" SEQ Table \* ARABIC ">
        <w:r w:rsidR="005F2E92">
          <w:rPr>
            <w:noProof/>
          </w:rPr>
          <w:t>1</w:t>
        </w:r>
      </w:fldSimple>
      <w:r w:rsidRPr="00E955D6">
        <w:t xml:space="preserve">  - Demographic information</w:t>
      </w:r>
    </w:p>
    <w:tbl>
      <w:tblPr>
        <w:tblStyle w:val="TableGrid"/>
        <w:tblW w:w="0" w:type="auto"/>
        <w:tblInd w:w="764" w:type="dxa"/>
        <w:tblBorders>
          <w:top w:val="single" w:sz="6" w:space="0" w:color="B83B14"/>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1 - Demographic information"/>
        <w:tblDescription w:val="The table shows there are more female respondents than male (68% vs 32% respectively). &#10;The largest age group is for 35-44 year olds (21%), followed by 25-34 and 45-54 (both at 19%). The smallest group is 18-24 year olds (12%).&#10;70% of people are the main grocery buyer.&#10;74% of people speak English only as their language spoken.&#10;The majority of respondents are located in Sydney metro (22%) followed by Melbourne metro. NT has the least amount of respondents (1%), followed by ACT, TAS, WA (Not Perth) and SA (Not Adelaide).&#10;"/>
      </w:tblPr>
      <w:tblGrid>
        <w:gridCol w:w="2605"/>
        <w:gridCol w:w="2039"/>
      </w:tblGrid>
      <w:tr w:rsidR="00CB0597" w:rsidTr="00073752">
        <w:trPr>
          <w:trHeight w:val="170"/>
          <w:tblHeader/>
        </w:trPr>
        <w:tc>
          <w:tcPr>
            <w:tcW w:w="2605" w:type="dxa"/>
            <w:tcBorders>
              <w:top w:val="nil"/>
            </w:tcBorders>
            <w:shd w:val="clear" w:color="auto" w:fill="FFF6D7"/>
            <w:vAlign w:val="bottom"/>
          </w:tcPr>
          <w:p w:rsidR="00CB0597" w:rsidRPr="00F50472" w:rsidRDefault="00CB0597" w:rsidP="00886C5B">
            <w:pPr>
              <w:spacing w:line="240" w:lineRule="atLeast"/>
              <w:rPr>
                <w:color w:val="F79646" w:themeColor="accent6"/>
              </w:rPr>
            </w:pPr>
            <w:r w:rsidRPr="00F50472">
              <w:t>Gender</w:t>
            </w:r>
          </w:p>
        </w:tc>
        <w:tc>
          <w:tcPr>
            <w:tcW w:w="2039" w:type="dxa"/>
            <w:tcBorders>
              <w:top w:val="nil"/>
            </w:tcBorders>
            <w:shd w:val="clear" w:color="auto" w:fill="FFF6D7"/>
            <w:vAlign w:val="bottom"/>
          </w:tcPr>
          <w:p w:rsidR="00CB0597" w:rsidRPr="00F50472" w:rsidRDefault="00CB0597" w:rsidP="00886C5B">
            <w:pPr>
              <w:pStyle w:val="Subtitle"/>
              <w:spacing w:line="240" w:lineRule="atLeast"/>
              <w:rPr>
                <w:b w:val="0"/>
                <w:color w:val="F79646" w:themeColor="accent6"/>
              </w:rPr>
            </w:pPr>
          </w:p>
        </w:tc>
      </w:tr>
      <w:tr w:rsidR="00CB0597" w:rsidTr="008827E3">
        <w:trPr>
          <w:trHeight w:val="170"/>
        </w:trPr>
        <w:tc>
          <w:tcPr>
            <w:tcW w:w="2605" w:type="dxa"/>
            <w:tcBorders>
              <w:top w:val="nil"/>
            </w:tcBorders>
            <w:vAlign w:val="center"/>
          </w:tcPr>
          <w:p w:rsidR="00CB0597" w:rsidRPr="00296A40" w:rsidRDefault="00CB0597" w:rsidP="005B7F71">
            <w:pPr>
              <w:spacing w:before="40" w:after="40"/>
            </w:pPr>
            <w:r w:rsidRPr="00296A40">
              <w:t>Male</w:t>
            </w:r>
          </w:p>
        </w:tc>
        <w:tc>
          <w:tcPr>
            <w:tcW w:w="2039" w:type="dxa"/>
            <w:tcBorders>
              <w:top w:val="nil"/>
            </w:tcBorders>
            <w:vAlign w:val="center"/>
          </w:tcPr>
          <w:p w:rsidR="00CB0597" w:rsidRPr="005B7F71" w:rsidRDefault="00CB0597" w:rsidP="0034735D">
            <w:pPr>
              <w:spacing w:before="40" w:after="40"/>
              <w:jc w:val="center"/>
            </w:pPr>
            <w:r w:rsidRPr="005B7F71">
              <w:t>3</w:t>
            </w:r>
            <w:r w:rsidR="0034735D">
              <w:t>2</w:t>
            </w:r>
            <w:r w:rsidRPr="005B7F71">
              <w:t>%</w:t>
            </w:r>
          </w:p>
        </w:tc>
      </w:tr>
      <w:tr w:rsidR="00CB0597" w:rsidTr="008827E3">
        <w:trPr>
          <w:trHeight w:val="170"/>
        </w:trPr>
        <w:tc>
          <w:tcPr>
            <w:tcW w:w="2605" w:type="dxa"/>
            <w:tcBorders>
              <w:top w:val="nil"/>
            </w:tcBorders>
            <w:vAlign w:val="center"/>
          </w:tcPr>
          <w:p w:rsidR="00CB0597" w:rsidRPr="00296A40" w:rsidRDefault="00CB0597" w:rsidP="005B7F71">
            <w:pPr>
              <w:spacing w:before="40" w:after="40"/>
            </w:pPr>
            <w:r w:rsidRPr="00296A40">
              <w:t>Female</w:t>
            </w:r>
          </w:p>
        </w:tc>
        <w:tc>
          <w:tcPr>
            <w:tcW w:w="2039" w:type="dxa"/>
            <w:tcBorders>
              <w:top w:val="nil"/>
            </w:tcBorders>
            <w:vAlign w:val="center"/>
          </w:tcPr>
          <w:p w:rsidR="00CB0597" w:rsidRPr="005B7F71" w:rsidRDefault="0034735D" w:rsidP="005B7F71">
            <w:pPr>
              <w:spacing w:before="40" w:after="40"/>
              <w:jc w:val="center"/>
            </w:pPr>
            <w:r>
              <w:t>68</w:t>
            </w:r>
            <w:r w:rsidR="00CB0597" w:rsidRPr="005B7F71">
              <w:t>%</w:t>
            </w:r>
          </w:p>
        </w:tc>
      </w:tr>
      <w:tr w:rsidR="00CB0597" w:rsidTr="00886C5B">
        <w:trPr>
          <w:trHeight w:val="170"/>
        </w:trPr>
        <w:tc>
          <w:tcPr>
            <w:tcW w:w="2605" w:type="dxa"/>
            <w:tcBorders>
              <w:top w:val="nil"/>
              <w:bottom w:val="nil"/>
            </w:tcBorders>
            <w:shd w:val="clear" w:color="auto" w:fill="FFF6D7"/>
            <w:vAlign w:val="center"/>
          </w:tcPr>
          <w:p w:rsidR="00CB0597" w:rsidRPr="00EE2A31" w:rsidRDefault="00CB0597" w:rsidP="00886C5B">
            <w:pPr>
              <w:pStyle w:val="Subtitle"/>
              <w:spacing w:before="120" w:after="120" w:line="240" w:lineRule="atLeast"/>
              <w:rPr>
                <w:b w:val="0"/>
              </w:rPr>
            </w:pPr>
            <w:r w:rsidRPr="00EE2A31">
              <w:rPr>
                <w:b w:val="0"/>
                <w:color w:val="000000" w:themeColor="text1"/>
              </w:rPr>
              <w:t>Age</w:t>
            </w:r>
          </w:p>
        </w:tc>
        <w:tc>
          <w:tcPr>
            <w:tcW w:w="2039" w:type="dxa"/>
            <w:tcBorders>
              <w:top w:val="nil"/>
              <w:bottom w:val="nil"/>
            </w:tcBorders>
            <w:shd w:val="clear" w:color="auto" w:fill="FFF6D7"/>
            <w:vAlign w:val="center"/>
          </w:tcPr>
          <w:p w:rsidR="00CB0597" w:rsidRDefault="00CB0597" w:rsidP="00886C5B">
            <w:pPr>
              <w:spacing w:before="60" w:after="60" w:line="240" w:lineRule="atLeast"/>
              <w:jc w:val="center"/>
              <w:rPr>
                <w:color w:val="F79646"/>
                <w:szCs w:val="22"/>
              </w:rPr>
            </w:pPr>
          </w:p>
        </w:tc>
      </w:tr>
      <w:tr w:rsidR="00CB0597" w:rsidTr="008827E3">
        <w:trPr>
          <w:trHeight w:val="170"/>
        </w:trPr>
        <w:tc>
          <w:tcPr>
            <w:tcW w:w="2605" w:type="dxa"/>
            <w:tcBorders>
              <w:top w:val="nil"/>
            </w:tcBorders>
            <w:vAlign w:val="center"/>
          </w:tcPr>
          <w:p w:rsidR="00CB0597" w:rsidRPr="00296A40" w:rsidRDefault="00CB0597" w:rsidP="005B7F71">
            <w:pPr>
              <w:spacing w:before="40" w:after="40"/>
            </w:pPr>
            <w:r w:rsidRPr="00296A40">
              <w:t>18 - 24</w:t>
            </w:r>
          </w:p>
        </w:tc>
        <w:tc>
          <w:tcPr>
            <w:tcW w:w="2039" w:type="dxa"/>
            <w:tcBorders>
              <w:top w:val="nil"/>
            </w:tcBorders>
            <w:vAlign w:val="center"/>
          </w:tcPr>
          <w:p w:rsidR="00CB0597" w:rsidRPr="005B7F71" w:rsidRDefault="0034735D" w:rsidP="005B7F71">
            <w:pPr>
              <w:spacing w:before="40" w:after="40"/>
              <w:jc w:val="center"/>
            </w:pPr>
            <w:r>
              <w:t>12</w:t>
            </w:r>
            <w:r w:rsidR="00CB0597" w:rsidRPr="005B7F71">
              <w:t>%</w:t>
            </w:r>
          </w:p>
        </w:tc>
      </w:tr>
      <w:tr w:rsidR="00CB0597" w:rsidTr="008827E3">
        <w:trPr>
          <w:trHeight w:val="170"/>
        </w:trPr>
        <w:tc>
          <w:tcPr>
            <w:tcW w:w="2605" w:type="dxa"/>
            <w:tcBorders>
              <w:top w:val="nil"/>
            </w:tcBorders>
            <w:vAlign w:val="center"/>
          </w:tcPr>
          <w:p w:rsidR="00CB0597" w:rsidRPr="00296A40" w:rsidRDefault="00CB0597" w:rsidP="005B7F71">
            <w:pPr>
              <w:spacing w:before="40" w:after="40"/>
            </w:pPr>
            <w:r w:rsidRPr="00296A40">
              <w:t>25 - 34</w:t>
            </w:r>
          </w:p>
        </w:tc>
        <w:tc>
          <w:tcPr>
            <w:tcW w:w="2039" w:type="dxa"/>
            <w:tcBorders>
              <w:top w:val="nil"/>
            </w:tcBorders>
            <w:vAlign w:val="center"/>
          </w:tcPr>
          <w:p w:rsidR="00CB0597" w:rsidRPr="005B7F71" w:rsidRDefault="0034735D" w:rsidP="005B7F71">
            <w:pPr>
              <w:spacing w:before="40" w:after="40"/>
              <w:jc w:val="center"/>
            </w:pPr>
            <w:r>
              <w:t>19</w:t>
            </w:r>
            <w:r w:rsidR="00CB0597" w:rsidRPr="005B7F71">
              <w:t>%</w:t>
            </w:r>
          </w:p>
        </w:tc>
      </w:tr>
      <w:tr w:rsidR="00CB0597" w:rsidTr="008827E3">
        <w:trPr>
          <w:trHeight w:val="170"/>
        </w:trPr>
        <w:tc>
          <w:tcPr>
            <w:tcW w:w="2605" w:type="dxa"/>
            <w:tcBorders>
              <w:top w:val="nil"/>
            </w:tcBorders>
            <w:vAlign w:val="center"/>
          </w:tcPr>
          <w:p w:rsidR="00CB0597" w:rsidRPr="00296A40" w:rsidRDefault="00CB0597" w:rsidP="005B7F71">
            <w:pPr>
              <w:spacing w:before="40" w:after="40"/>
            </w:pPr>
            <w:r w:rsidRPr="00296A40">
              <w:t>35 - 44</w:t>
            </w:r>
          </w:p>
        </w:tc>
        <w:tc>
          <w:tcPr>
            <w:tcW w:w="2039" w:type="dxa"/>
            <w:tcBorders>
              <w:top w:val="nil"/>
            </w:tcBorders>
            <w:vAlign w:val="center"/>
          </w:tcPr>
          <w:p w:rsidR="00CB0597" w:rsidRPr="005B7F71" w:rsidRDefault="00CB0597" w:rsidP="005B7F71">
            <w:pPr>
              <w:spacing w:before="40" w:after="40"/>
              <w:jc w:val="center"/>
            </w:pPr>
            <w:r w:rsidRPr="005B7F71">
              <w:t>21%</w:t>
            </w:r>
          </w:p>
        </w:tc>
      </w:tr>
      <w:tr w:rsidR="00CB0597" w:rsidTr="008827E3">
        <w:trPr>
          <w:trHeight w:val="170"/>
        </w:trPr>
        <w:tc>
          <w:tcPr>
            <w:tcW w:w="2605" w:type="dxa"/>
            <w:tcBorders>
              <w:top w:val="nil"/>
            </w:tcBorders>
            <w:vAlign w:val="center"/>
          </w:tcPr>
          <w:p w:rsidR="00CB0597" w:rsidRPr="00296A40" w:rsidRDefault="00CB0597" w:rsidP="005B7F71">
            <w:pPr>
              <w:spacing w:before="40" w:after="40"/>
            </w:pPr>
            <w:r w:rsidRPr="00296A40">
              <w:t>45 - 54</w:t>
            </w:r>
          </w:p>
        </w:tc>
        <w:tc>
          <w:tcPr>
            <w:tcW w:w="2039" w:type="dxa"/>
            <w:tcBorders>
              <w:top w:val="nil"/>
            </w:tcBorders>
            <w:vAlign w:val="center"/>
          </w:tcPr>
          <w:p w:rsidR="00CB0597" w:rsidRPr="005B7F71" w:rsidRDefault="00CB0597" w:rsidP="005B7F71">
            <w:pPr>
              <w:spacing w:before="40" w:after="40"/>
              <w:jc w:val="center"/>
            </w:pPr>
            <w:r w:rsidRPr="005B7F71">
              <w:t>19%</w:t>
            </w:r>
          </w:p>
        </w:tc>
      </w:tr>
      <w:tr w:rsidR="00CB0597" w:rsidTr="00886C5B">
        <w:trPr>
          <w:trHeight w:val="170"/>
        </w:trPr>
        <w:tc>
          <w:tcPr>
            <w:tcW w:w="2605" w:type="dxa"/>
            <w:tcBorders>
              <w:top w:val="nil"/>
              <w:bottom w:val="nil"/>
            </w:tcBorders>
            <w:vAlign w:val="center"/>
          </w:tcPr>
          <w:p w:rsidR="00CB0597" w:rsidRPr="00296A40" w:rsidRDefault="00CB0597" w:rsidP="005B7F71">
            <w:pPr>
              <w:spacing w:before="40" w:after="40"/>
            </w:pPr>
            <w:r w:rsidRPr="00296A40">
              <w:t>55- 64</w:t>
            </w:r>
          </w:p>
        </w:tc>
        <w:tc>
          <w:tcPr>
            <w:tcW w:w="2039" w:type="dxa"/>
            <w:tcBorders>
              <w:top w:val="nil"/>
              <w:bottom w:val="nil"/>
            </w:tcBorders>
            <w:vAlign w:val="center"/>
          </w:tcPr>
          <w:p w:rsidR="00CB0597" w:rsidRPr="005B7F71" w:rsidRDefault="00CB0597" w:rsidP="005B7F71">
            <w:pPr>
              <w:spacing w:before="40" w:after="40"/>
              <w:jc w:val="center"/>
            </w:pPr>
            <w:r w:rsidRPr="005B7F71">
              <w:t>14%</w:t>
            </w:r>
          </w:p>
        </w:tc>
      </w:tr>
      <w:tr w:rsidR="00CB0597" w:rsidTr="00886C5B">
        <w:trPr>
          <w:trHeight w:val="170"/>
        </w:trPr>
        <w:tc>
          <w:tcPr>
            <w:tcW w:w="2605" w:type="dxa"/>
            <w:tcBorders>
              <w:top w:val="nil"/>
              <w:bottom w:val="single" w:sz="4" w:space="0" w:color="auto"/>
            </w:tcBorders>
            <w:vAlign w:val="center"/>
          </w:tcPr>
          <w:p w:rsidR="00CB0597" w:rsidRPr="00296A40" w:rsidRDefault="00CB0597" w:rsidP="00886C5B">
            <w:pPr>
              <w:spacing w:before="40" w:after="360"/>
            </w:pPr>
            <w:r w:rsidRPr="00296A40">
              <w:t>65 or over</w:t>
            </w:r>
          </w:p>
        </w:tc>
        <w:tc>
          <w:tcPr>
            <w:tcW w:w="2039" w:type="dxa"/>
            <w:tcBorders>
              <w:top w:val="nil"/>
              <w:bottom w:val="single" w:sz="4" w:space="0" w:color="auto"/>
            </w:tcBorders>
            <w:vAlign w:val="center"/>
          </w:tcPr>
          <w:p w:rsidR="00CB0597" w:rsidRPr="005B7F71" w:rsidRDefault="00CB0597" w:rsidP="00886C5B">
            <w:pPr>
              <w:spacing w:before="40" w:after="360"/>
              <w:jc w:val="center"/>
            </w:pPr>
            <w:r w:rsidRPr="005B7F71">
              <w:t>15%</w:t>
            </w:r>
          </w:p>
        </w:tc>
      </w:tr>
      <w:tr w:rsidR="00CB0597" w:rsidTr="00886C5B">
        <w:trPr>
          <w:trHeight w:val="170"/>
        </w:trPr>
        <w:tc>
          <w:tcPr>
            <w:tcW w:w="2605" w:type="dxa"/>
            <w:tcBorders>
              <w:top w:val="single" w:sz="4" w:space="0" w:color="auto"/>
            </w:tcBorders>
            <w:shd w:val="clear" w:color="auto" w:fill="FFF6D7"/>
            <w:vAlign w:val="center"/>
          </w:tcPr>
          <w:p w:rsidR="00CB0597" w:rsidRPr="00EE2A31" w:rsidRDefault="00CB0597" w:rsidP="00CB0597">
            <w:pPr>
              <w:pStyle w:val="Subtitle"/>
              <w:spacing w:before="120" w:after="120"/>
              <w:rPr>
                <w:b w:val="0"/>
              </w:rPr>
            </w:pPr>
            <w:r w:rsidRPr="00EE2A31">
              <w:rPr>
                <w:b w:val="0"/>
                <w:color w:val="000000" w:themeColor="text1"/>
              </w:rPr>
              <w:lastRenderedPageBreak/>
              <w:t>Grocery buyer</w:t>
            </w:r>
          </w:p>
        </w:tc>
        <w:tc>
          <w:tcPr>
            <w:tcW w:w="2039" w:type="dxa"/>
            <w:tcBorders>
              <w:top w:val="single" w:sz="4" w:space="0" w:color="auto"/>
            </w:tcBorders>
            <w:shd w:val="clear" w:color="auto" w:fill="FFF6D7"/>
            <w:vAlign w:val="center"/>
          </w:tcPr>
          <w:p w:rsidR="00CB0597" w:rsidRDefault="00CB0597" w:rsidP="00CB0597">
            <w:pPr>
              <w:pStyle w:val="Subtitle"/>
              <w:spacing w:before="120" w:after="120"/>
              <w:rPr>
                <w:color w:val="F79646"/>
                <w:szCs w:val="22"/>
              </w:rPr>
            </w:pPr>
          </w:p>
        </w:tc>
      </w:tr>
      <w:tr w:rsidR="00CB0597" w:rsidTr="008827E3">
        <w:trPr>
          <w:trHeight w:val="170"/>
        </w:trPr>
        <w:tc>
          <w:tcPr>
            <w:tcW w:w="2605" w:type="dxa"/>
            <w:tcBorders>
              <w:bottom w:val="nil"/>
            </w:tcBorders>
            <w:vAlign w:val="center"/>
          </w:tcPr>
          <w:p w:rsidR="00CB0597" w:rsidRPr="00296A40" w:rsidRDefault="00CB0597" w:rsidP="00265BC3">
            <w:pPr>
              <w:spacing w:before="40" w:after="40"/>
            </w:pPr>
            <w:r w:rsidRPr="00296A40">
              <w:t>Main grocery buyer</w:t>
            </w:r>
          </w:p>
        </w:tc>
        <w:tc>
          <w:tcPr>
            <w:tcW w:w="2039" w:type="dxa"/>
            <w:tcBorders>
              <w:bottom w:val="nil"/>
            </w:tcBorders>
            <w:vAlign w:val="center"/>
          </w:tcPr>
          <w:p w:rsidR="00CB0597" w:rsidRPr="00265BC3" w:rsidRDefault="00CB0597" w:rsidP="0034735D">
            <w:pPr>
              <w:spacing w:before="40" w:after="40"/>
              <w:jc w:val="center"/>
            </w:pPr>
            <w:r w:rsidRPr="00265BC3">
              <w:t>7</w:t>
            </w:r>
            <w:r w:rsidR="0034735D">
              <w:t>0</w:t>
            </w:r>
            <w:r w:rsidRPr="00265BC3">
              <w:t>%</w:t>
            </w:r>
          </w:p>
        </w:tc>
      </w:tr>
      <w:tr w:rsidR="00CB0597" w:rsidTr="008827E3">
        <w:trPr>
          <w:trHeight w:val="170"/>
        </w:trPr>
        <w:tc>
          <w:tcPr>
            <w:tcW w:w="2605" w:type="dxa"/>
            <w:tcBorders>
              <w:top w:val="nil"/>
            </w:tcBorders>
            <w:vAlign w:val="center"/>
          </w:tcPr>
          <w:p w:rsidR="00CB0597" w:rsidRPr="00296A40" w:rsidRDefault="00CB0597" w:rsidP="00265BC3">
            <w:pPr>
              <w:spacing w:before="40" w:after="40"/>
            </w:pPr>
            <w:r w:rsidRPr="00296A40">
              <w:t>Joint grocery buyer</w:t>
            </w:r>
          </w:p>
        </w:tc>
        <w:tc>
          <w:tcPr>
            <w:tcW w:w="2039" w:type="dxa"/>
            <w:tcBorders>
              <w:top w:val="nil"/>
            </w:tcBorders>
            <w:vAlign w:val="center"/>
          </w:tcPr>
          <w:p w:rsidR="00CB0597" w:rsidRPr="00265BC3" w:rsidRDefault="0034735D" w:rsidP="00265BC3">
            <w:pPr>
              <w:spacing w:before="40" w:after="40"/>
              <w:jc w:val="center"/>
            </w:pPr>
            <w:r>
              <w:t>30</w:t>
            </w:r>
            <w:r w:rsidR="00CB0597" w:rsidRPr="00265BC3">
              <w:t>%</w:t>
            </w:r>
          </w:p>
        </w:tc>
      </w:tr>
      <w:tr w:rsidR="00CB0597" w:rsidTr="008827E3">
        <w:trPr>
          <w:trHeight w:val="170"/>
        </w:trPr>
        <w:tc>
          <w:tcPr>
            <w:tcW w:w="2605" w:type="dxa"/>
            <w:shd w:val="clear" w:color="auto" w:fill="FFF6D7"/>
            <w:vAlign w:val="center"/>
          </w:tcPr>
          <w:p w:rsidR="00CB0597" w:rsidRPr="00EE2A31" w:rsidRDefault="00CB0597" w:rsidP="00CB0597">
            <w:pPr>
              <w:pStyle w:val="Subtitle"/>
              <w:spacing w:before="120" w:after="120"/>
              <w:rPr>
                <w:b w:val="0"/>
                <w:color w:val="F79646" w:themeColor="accent6"/>
              </w:rPr>
            </w:pPr>
            <w:r w:rsidRPr="00EE2A31">
              <w:rPr>
                <w:b w:val="0"/>
                <w:color w:val="000000" w:themeColor="text1"/>
              </w:rPr>
              <w:t>Language spoken</w:t>
            </w:r>
          </w:p>
        </w:tc>
        <w:tc>
          <w:tcPr>
            <w:tcW w:w="2039" w:type="dxa"/>
            <w:shd w:val="clear" w:color="auto" w:fill="FFF6D7"/>
            <w:vAlign w:val="center"/>
          </w:tcPr>
          <w:p w:rsidR="00CB0597" w:rsidRPr="009A6D30" w:rsidRDefault="00CB0597" w:rsidP="00CB0597">
            <w:pPr>
              <w:pStyle w:val="Subtitle"/>
              <w:spacing w:before="120" w:after="120"/>
              <w:rPr>
                <w:color w:val="F79646" w:themeColor="accent6"/>
                <w:szCs w:val="22"/>
              </w:rPr>
            </w:pPr>
          </w:p>
        </w:tc>
      </w:tr>
      <w:tr w:rsidR="00CB0597" w:rsidTr="008827E3">
        <w:trPr>
          <w:trHeight w:val="170"/>
        </w:trPr>
        <w:tc>
          <w:tcPr>
            <w:tcW w:w="2605" w:type="dxa"/>
            <w:vAlign w:val="center"/>
          </w:tcPr>
          <w:p w:rsidR="00CB0597" w:rsidRPr="00296A40" w:rsidRDefault="00CB0597" w:rsidP="00265BC3">
            <w:pPr>
              <w:spacing w:before="40" w:after="40"/>
            </w:pPr>
            <w:r w:rsidRPr="00296A40">
              <w:t>Only English</w:t>
            </w:r>
          </w:p>
        </w:tc>
        <w:tc>
          <w:tcPr>
            <w:tcW w:w="2039" w:type="dxa"/>
            <w:vAlign w:val="center"/>
          </w:tcPr>
          <w:p w:rsidR="00CB0597" w:rsidRPr="00265BC3" w:rsidRDefault="0034735D" w:rsidP="00265BC3">
            <w:pPr>
              <w:spacing w:before="40" w:after="40"/>
              <w:jc w:val="center"/>
            </w:pPr>
            <w:r>
              <w:t>74</w:t>
            </w:r>
            <w:r w:rsidR="00CB0597" w:rsidRPr="00265BC3">
              <w:t>%</w:t>
            </w:r>
          </w:p>
        </w:tc>
      </w:tr>
      <w:tr w:rsidR="00CB0597" w:rsidTr="008827E3">
        <w:trPr>
          <w:trHeight w:val="170"/>
        </w:trPr>
        <w:tc>
          <w:tcPr>
            <w:tcW w:w="2605" w:type="dxa"/>
            <w:vAlign w:val="center"/>
          </w:tcPr>
          <w:p w:rsidR="00CB0597" w:rsidRPr="00296A40" w:rsidRDefault="00CB0597" w:rsidP="00265BC3">
            <w:pPr>
              <w:spacing w:before="40" w:after="40"/>
            </w:pPr>
            <w:r w:rsidRPr="00296A40">
              <w:t>Mainly English</w:t>
            </w:r>
          </w:p>
        </w:tc>
        <w:tc>
          <w:tcPr>
            <w:tcW w:w="2039" w:type="dxa"/>
            <w:vAlign w:val="center"/>
          </w:tcPr>
          <w:p w:rsidR="00CB0597" w:rsidRPr="00265BC3" w:rsidRDefault="00CB0597" w:rsidP="00265BC3">
            <w:pPr>
              <w:spacing w:before="40" w:after="40"/>
              <w:jc w:val="center"/>
            </w:pPr>
            <w:r w:rsidRPr="00265BC3">
              <w:t>18%</w:t>
            </w:r>
          </w:p>
        </w:tc>
      </w:tr>
      <w:tr w:rsidR="00CB0597" w:rsidTr="008827E3">
        <w:trPr>
          <w:trHeight w:val="170"/>
        </w:trPr>
        <w:tc>
          <w:tcPr>
            <w:tcW w:w="2605" w:type="dxa"/>
            <w:vAlign w:val="center"/>
          </w:tcPr>
          <w:p w:rsidR="00CB0597" w:rsidRPr="00296A40" w:rsidRDefault="00CB0597" w:rsidP="00265BC3">
            <w:pPr>
              <w:spacing w:before="40" w:after="40"/>
            </w:pPr>
            <w:r w:rsidRPr="00296A40">
              <w:t>Mainly LOTE</w:t>
            </w:r>
          </w:p>
        </w:tc>
        <w:tc>
          <w:tcPr>
            <w:tcW w:w="2039" w:type="dxa"/>
            <w:vAlign w:val="center"/>
          </w:tcPr>
          <w:p w:rsidR="00CB0597" w:rsidRPr="00265BC3" w:rsidRDefault="0034735D" w:rsidP="00265BC3">
            <w:pPr>
              <w:spacing w:before="40" w:after="40"/>
              <w:jc w:val="center"/>
            </w:pPr>
            <w:r>
              <w:t>7</w:t>
            </w:r>
            <w:r w:rsidR="00CB0597" w:rsidRPr="00265BC3">
              <w:t>%</w:t>
            </w:r>
          </w:p>
        </w:tc>
      </w:tr>
      <w:tr w:rsidR="00CB0597" w:rsidTr="008827E3">
        <w:trPr>
          <w:trHeight w:val="170"/>
        </w:trPr>
        <w:tc>
          <w:tcPr>
            <w:tcW w:w="2605" w:type="dxa"/>
            <w:shd w:val="clear" w:color="auto" w:fill="FFF6D7"/>
            <w:vAlign w:val="center"/>
          </w:tcPr>
          <w:p w:rsidR="00CB0597" w:rsidRPr="00EE2A31" w:rsidRDefault="00CB0597" w:rsidP="00CB0597">
            <w:pPr>
              <w:pStyle w:val="Subtitle"/>
              <w:spacing w:before="120" w:after="120"/>
              <w:rPr>
                <w:b w:val="0"/>
              </w:rPr>
            </w:pPr>
            <w:r w:rsidRPr="00EE2A31">
              <w:rPr>
                <w:b w:val="0"/>
                <w:color w:val="000000" w:themeColor="text1"/>
              </w:rPr>
              <w:t>Location</w:t>
            </w:r>
          </w:p>
        </w:tc>
        <w:tc>
          <w:tcPr>
            <w:tcW w:w="2039" w:type="dxa"/>
            <w:shd w:val="clear" w:color="auto" w:fill="FFF6D7"/>
            <w:vAlign w:val="center"/>
          </w:tcPr>
          <w:p w:rsidR="00CB0597" w:rsidRDefault="00CB0597" w:rsidP="00CB0597">
            <w:pPr>
              <w:pStyle w:val="Subtitle"/>
              <w:spacing w:before="120" w:after="120"/>
              <w:rPr>
                <w:color w:val="F79646"/>
                <w:szCs w:val="22"/>
              </w:rPr>
            </w:pPr>
          </w:p>
        </w:tc>
      </w:tr>
      <w:tr w:rsidR="00CB0597" w:rsidTr="008827E3">
        <w:trPr>
          <w:trHeight w:val="170"/>
        </w:trPr>
        <w:tc>
          <w:tcPr>
            <w:tcW w:w="2605" w:type="dxa"/>
            <w:vAlign w:val="center"/>
          </w:tcPr>
          <w:p w:rsidR="00CB0597" w:rsidRPr="00296A40" w:rsidRDefault="00CB0597" w:rsidP="00265BC3">
            <w:pPr>
              <w:spacing w:before="40" w:after="40"/>
            </w:pPr>
            <w:r w:rsidRPr="00296A40">
              <w:t>Sydney metro</w:t>
            </w:r>
          </w:p>
        </w:tc>
        <w:tc>
          <w:tcPr>
            <w:tcW w:w="2039" w:type="dxa"/>
            <w:vAlign w:val="center"/>
          </w:tcPr>
          <w:p w:rsidR="00CB0597" w:rsidRDefault="0034735D" w:rsidP="00265BC3">
            <w:pPr>
              <w:spacing w:before="40" w:after="40"/>
              <w:jc w:val="center"/>
              <w:rPr>
                <w:color w:val="000000"/>
                <w:szCs w:val="22"/>
              </w:rPr>
            </w:pPr>
            <w:r>
              <w:rPr>
                <w:color w:val="000000"/>
                <w:szCs w:val="22"/>
                <w:lang w:val="en-US"/>
              </w:rPr>
              <w:t>22</w:t>
            </w:r>
            <w:r w:rsidR="00CB0597">
              <w:rPr>
                <w:color w:val="000000"/>
                <w:szCs w:val="22"/>
                <w:lang w:val="en-US"/>
              </w:rPr>
              <w:t>%</w:t>
            </w:r>
          </w:p>
        </w:tc>
      </w:tr>
      <w:tr w:rsidR="00CB0597" w:rsidTr="008827E3">
        <w:trPr>
          <w:trHeight w:val="170"/>
        </w:trPr>
        <w:tc>
          <w:tcPr>
            <w:tcW w:w="2605" w:type="dxa"/>
            <w:vAlign w:val="center"/>
          </w:tcPr>
          <w:p w:rsidR="00CB0597" w:rsidRPr="00296A40" w:rsidRDefault="00CB0597" w:rsidP="00265BC3">
            <w:pPr>
              <w:spacing w:before="40" w:after="40"/>
            </w:pPr>
            <w:r w:rsidRPr="00296A40">
              <w:t>NSW (Not Sydney)</w:t>
            </w:r>
          </w:p>
        </w:tc>
        <w:tc>
          <w:tcPr>
            <w:tcW w:w="2039" w:type="dxa"/>
            <w:vAlign w:val="center"/>
          </w:tcPr>
          <w:p w:rsidR="00CB0597" w:rsidRDefault="0034735D" w:rsidP="00265BC3">
            <w:pPr>
              <w:spacing w:before="40" w:after="40"/>
              <w:jc w:val="center"/>
              <w:rPr>
                <w:color w:val="000000"/>
                <w:szCs w:val="22"/>
              </w:rPr>
            </w:pPr>
            <w:r>
              <w:rPr>
                <w:color w:val="000000"/>
                <w:szCs w:val="22"/>
                <w:lang w:val="en-US"/>
              </w:rPr>
              <w:t>12</w:t>
            </w:r>
            <w:r w:rsidR="00CB0597">
              <w:rPr>
                <w:color w:val="000000"/>
                <w:szCs w:val="22"/>
                <w:lang w:val="en-US"/>
              </w:rPr>
              <w:t>%</w:t>
            </w:r>
          </w:p>
        </w:tc>
      </w:tr>
      <w:tr w:rsidR="00CB0597" w:rsidTr="008827E3">
        <w:trPr>
          <w:trHeight w:val="170"/>
        </w:trPr>
        <w:tc>
          <w:tcPr>
            <w:tcW w:w="2605" w:type="dxa"/>
            <w:vAlign w:val="center"/>
          </w:tcPr>
          <w:p w:rsidR="00CB0597" w:rsidRPr="00296A40" w:rsidRDefault="00CB0597" w:rsidP="00265BC3">
            <w:pPr>
              <w:spacing w:before="40" w:after="40"/>
            </w:pPr>
            <w:r w:rsidRPr="00296A40">
              <w:t>Melbourne metro</w:t>
            </w:r>
          </w:p>
        </w:tc>
        <w:tc>
          <w:tcPr>
            <w:tcW w:w="2039" w:type="dxa"/>
            <w:vAlign w:val="center"/>
          </w:tcPr>
          <w:p w:rsidR="00CB0597" w:rsidRDefault="00CB0597" w:rsidP="00265BC3">
            <w:pPr>
              <w:spacing w:before="40" w:after="40"/>
              <w:jc w:val="center"/>
              <w:rPr>
                <w:color w:val="000000"/>
                <w:szCs w:val="22"/>
              </w:rPr>
            </w:pPr>
            <w:r>
              <w:rPr>
                <w:color w:val="000000"/>
                <w:szCs w:val="22"/>
                <w:lang w:val="en-US"/>
              </w:rPr>
              <w:t>18%</w:t>
            </w:r>
          </w:p>
        </w:tc>
      </w:tr>
      <w:tr w:rsidR="00CB0597" w:rsidTr="008827E3">
        <w:trPr>
          <w:trHeight w:val="170"/>
        </w:trPr>
        <w:tc>
          <w:tcPr>
            <w:tcW w:w="2605" w:type="dxa"/>
            <w:vAlign w:val="center"/>
          </w:tcPr>
          <w:p w:rsidR="00CB0597" w:rsidRPr="00296A40" w:rsidRDefault="00CB0597" w:rsidP="00265BC3">
            <w:pPr>
              <w:spacing w:before="40" w:after="40"/>
            </w:pPr>
            <w:r w:rsidRPr="00296A40">
              <w:t>VIC (Not Melbourne)</w:t>
            </w:r>
          </w:p>
        </w:tc>
        <w:tc>
          <w:tcPr>
            <w:tcW w:w="2039" w:type="dxa"/>
            <w:vAlign w:val="center"/>
          </w:tcPr>
          <w:p w:rsidR="00CB0597" w:rsidRDefault="0034735D" w:rsidP="00265BC3">
            <w:pPr>
              <w:spacing w:before="40" w:after="40"/>
              <w:jc w:val="center"/>
              <w:rPr>
                <w:color w:val="000000"/>
                <w:szCs w:val="22"/>
              </w:rPr>
            </w:pPr>
            <w:r>
              <w:rPr>
                <w:color w:val="000000"/>
                <w:szCs w:val="22"/>
                <w:lang w:val="en-US"/>
              </w:rPr>
              <w:t>6</w:t>
            </w:r>
            <w:r w:rsidR="00CB0597">
              <w:rPr>
                <w:color w:val="000000"/>
                <w:szCs w:val="22"/>
                <w:lang w:val="en-US"/>
              </w:rPr>
              <w:t>%</w:t>
            </w:r>
          </w:p>
        </w:tc>
      </w:tr>
      <w:tr w:rsidR="00CB0597" w:rsidTr="008827E3">
        <w:trPr>
          <w:trHeight w:val="170"/>
        </w:trPr>
        <w:tc>
          <w:tcPr>
            <w:tcW w:w="2605" w:type="dxa"/>
            <w:vAlign w:val="center"/>
          </w:tcPr>
          <w:p w:rsidR="00CB0597" w:rsidRPr="00296A40" w:rsidRDefault="00CB0597" w:rsidP="00265BC3">
            <w:pPr>
              <w:spacing w:before="40" w:after="40"/>
            </w:pPr>
            <w:r w:rsidRPr="00296A40">
              <w:t>Brisbane metro</w:t>
            </w:r>
          </w:p>
        </w:tc>
        <w:tc>
          <w:tcPr>
            <w:tcW w:w="2039" w:type="dxa"/>
            <w:vAlign w:val="center"/>
          </w:tcPr>
          <w:p w:rsidR="00CB0597" w:rsidRDefault="00CB0597" w:rsidP="00265BC3">
            <w:pPr>
              <w:spacing w:before="40" w:after="40"/>
              <w:jc w:val="center"/>
              <w:rPr>
                <w:color w:val="000000"/>
                <w:szCs w:val="22"/>
              </w:rPr>
            </w:pPr>
            <w:r>
              <w:rPr>
                <w:color w:val="000000"/>
                <w:szCs w:val="22"/>
                <w:lang w:val="en-US"/>
              </w:rPr>
              <w:t>9%</w:t>
            </w:r>
          </w:p>
        </w:tc>
      </w:tr>
      <w:tr w:rsidR="00CB0597" w:rsidTr="008827E3">
        <w:trPr>
          <w:trHeight w:val="170"/>
        </w:trPr>
        <w:tc>
          <w:tcPr>
            <w:tcW w:w="2605" w:type="dxa"/>
            <w:vAlign w:val="center"/>
          </w:tcPr>
          <w:p w:rsidR="00CB0597" w:rsidRPr="00296A40" w:rsidRDefault="00CB0597" w:rsidP="00265BC3">
            <w:pPr>
              <w:spacing w:before="40" w:after="40"/>
            </w:pPr>
            <w:r w:rsidRPr="00296A40">
              <w:t>QLD (Not Brisbane)</w:t>
            </w:r>
          </w:p>
        </w:tc>
        <w:tc>
          <w:tcPr>
            <w:tcW w:w="2039" w:type="dxa"/>
            <w:vAlign w:val="center"/>
          </w:tcPr>
          <w:p w:rsidR="00CB0597" w:rsidRDefault="0034735D" w:rsidP="00265BC3">
            <w:pPr>
              <w:spacing w:before="40" w:after="40"/>
              <w:jc w:val="center"/>
              <w:rPr>
                <w:color w:val="000000"/>
                <w:szCs w:val="22"/>
              </w:rPr>
            </w:pPr>
            <w:r>
              <w:rPr>
                <w:color w:val="000000"/>
                <w:szCs w:val="22"/>
                <w:lang w:val="en-US"/>
              </w:rPr>
              <w:t>10</w:t>
            </w:r>
            <w:r w:rsidR="00CB0597">
              <w:rPr>
                <w:color w:val="000000"/>
                <w:szCs w:val="22"/>
                <w:lang w:val="en-US"/>
              </w:rPr>
              <w:t>%</w:t>
            </w:r>
          </w:p>
        </w:tc>
      </w:tr>
      <w:tr w:rsidR="00CB0597" w:rsidTr="008827E3">
        <w:trPr>
          <w:trHeight w:val="170"/>
        </w:trPr>
        <w:tc>
          <w:tcPr>
            <w:tcW w:w="2605" w:type="dxa"/>
            <w:vAlign w:val="center"/>
          </w:tcPr>
          <w:p w:rsidR="00CB0597" w:rsidRPr="00296A40" w:rsidRDefault="00CB0597" w:rsidP="00265BC3">
            <w:pPr>
              <w:spacing w:before="40" w:after="40"/>
            </w:pPr>
            <w:r w:rsidRPr="00296A40">
              <w:t>Adelaide metro</w:t>
            </w:r>
          </w:p>
        </w:tc>
        <w:tc>
          <w:tcPr>
            <w:tcW w:w="2039" w:type="dxa"/>
            <w:vAlign w:val="center"/>
          </w:tcPr>
          <w:p w:rsidR="00CB0597" w:rsidRDefault="00CB0597" w:rsidP="00265BC3">
            <w:pPr>
              <w:spacing w:before="40" w:after="40"/>
              <w:jc w:val="center"/>
              <w:rPr>
                <w:color w:val="000000"/>
                <w:szCs w:val="22"/>
              </w:rPr>
            </w:pPr>
            <w:r>
              <w:rPr>
                <w:color w:val="000000"/>
                <w:szCs w:val="22"/>
                <w:lang w:val="en-US"/>
              </w:rPr>
              <w:t>6%</w:t>
            </w:r>
          </w:p>
        </w:tc>
      </w:tr>
      <w:tr w:rsidR="00CB0597" w:rsidTr="008827E3">
        <w:trPr>
          <w:trHeight w:val="170"/>
        </w:trPr>
        <w:tc>
          <w:tcPr>
            <w:tcW w:w="2605" w:type="dxa"/>
            <w:vAlign w:val="center"/>
          </w:tcPr>
          <w:p w:rsidR="00CB0597" w:rsidRPr="00296A40" w:rsidRDefault="00CB0597" w:rsidP="00265BC3">
            <w:pPr>
              <w:spacing w:before="40" w:after="40"/>
            </w:pPr>
            <w:r w:rsidRPr="00296A40">
              <w:t>SA (Not Adelaide)</w:t>
            </w:r>
          </w:p>
        </w:tc>
        <w:tc>
          <w:tcPr>
            <w:tcW w:w="2039" w:type="dxa"/>
            <w:vAlign w:val="center"/>
          </w:tcPr>
          <w:p w:rsidR="00CB0597" w:rsidRDefault="00CB0597" w:rsidP="00265BC3">
            <w:pPr>
              <w:spacing w:before="40" w:after="40"/>
              <w:jc w:val="center"/>
              <w:rPr>
                <w:color w:val="000000"/>
                <w:szCs w:val="22"/>
              </w:rPr>
            </w:pPr>
            <w:r>
              <w:rPr>
                <w:color w:val="000000"/>
                <w:szCs w:val="22"/>
                <w:lang w:val="en-US"/>
              </w:rPr>
              <w:t>2%</w:t>
            </w:r>
          </w:p>
        </w:tc>
      </w:tr>
      <w:tr w:rsidR="00CB0597" w:rsidTr="008827E3">
        <w:trPr>
          <w:trHeight w:val="170"/>
        </w:trPr>
        <w:tc>
          <w:tcPr>
            <w:tcW w:w="2605" w:type="dxa"/>
            <w:vAlign w:val="center"/>
          </w:tcPr>
          <w:p w:rsidR="00CB0597" w:rsidRPr="00296A40" w:rsidRDefault="00CB0597" w:rsidP="00265BC3">
            <w:pPr>
              <w:spacing w:before="40" w:after="40"/>
            </w:pPr>
            <w:r w:rsidRPr="00296A40">
              <w:t>Perth metro</w:t>
            </w:r>
          </w:p>
        </w:tc>
        <w:tc>
          <w:tcPr>
            <w:tcW w:w="2039" w:type="dxa"/>
            <w:vAlign w:val="center"/>
          </w:tcPr>
          <w:p w:rsidR="00CB0597" w:rsidRDefault="00CB0597" w:rsidP="00265BC3">
            <w:pPr>
              <w:spacing w:before="40" w:after="40"/>
              <w:jc w:val="center"/>
              <w:rPr>
                <w:color w:val="000000"/>
                <w:szCs w:val="22"/>
              </w:rPr>
            </w:pPr>
            <w:r>
              <w:rPr>
                <w:color w:val="000000"/>
                <w:szCs w:val="22"/>
                <w:lang w:val="en-US"/>
              </w:rPr>
              <w:t>7%</w:t>
            </w:r>
          </w:p>
        </w:tc>
      </w:tr>
      <w:tr w:rsidR="00CB0597" w:rsidTr="008827E3">
        <w:trPr>
          <w:trHeight w:val="170"/>
        </w:trPr>
        <w:tc>
          <w:tcPr>
            <w:tcW w:w="2605" w:type="dxa"/>
            <w:vAlign w:val="center"/>
          </w:tcPr>
          <w:p w:rsidR="00CB0597" w:rsidRPr="00296A40" w:rsidRDefault="00CB0597" w:rsidP="00265BC3">
            <w:pPr>
              <w:spacing w:before="40" w:after="40"/>
            </w:pPr>
            <w:r w:rsidRPr="00296A40">
              <w:t>WA (Not Perth)</w:t>
            </w:r>
          </w:p>
        </w:tc>
        <w:tc>
          <w:tcPr>
            <w:tcW w:w="2039" w:type="dxa"/>
            <w:vAlign w:val="center"/>
          </w:tcPr>
          <w:p w:rsidR="00CB0597" w:rsidRDefault="00CB0597" w:rsidP="00265BC3">
            <w:pPr>
              <w:spacing w:before="40" w:after="40"/>
              <w:jc w:val="center"/>
              <w:rPr>
                <w:color w:val="000000"/>
                <w:szCs w:val="22"/>
              </w:rPr>
            </w:pPr>
            <w:r>
              <w:rPr>
                <w:color w:val="000000"/>
                <w:szCs w:val="22"/>
                <w:lang w:val="en-US"/>
              </w:rPr>
              <w:t>2%</w:t>
            </w:r>
          </w:p>
        </w:tc>
      </w:tr>
      <w:tr w:rsidR="00CB0597" w:rsidTr="008827E3">
        <w:trPr>
          <w:trHeight w:val="170"/>
        </w:trPr>
        <w:tc>
          <w:tcPr>
            <w:tcW w:w="2605" w:type="dxa"/>
            <w:vAlign w:val="center"/>
          </w:tcPr>
          <w:p w:rsidR="00CB0597" w:rsidRPr="00296A40" w:rsidRDefault="00CB0597" w:rsidP="00C9582A">
            <w:pPr>
              <w:spacing w:before="40" w:after="40"/>
            </w:pPr>
            <w:r w:rsidRPr="00296A40">
              <w:t xml:space="preserve">NT </w:t>
            </w:r>
          </w:p>
        </w:tc>
        <w:tc>
          <w:tcPr>
            <w:tcW w:w="2039" w:type="dxa"/>
            <w:vAlign w:val="center"/>
          </w:tcPr>
          <w:p w:rsidR="00CB0597" w:rsidRDefault="00C9582A" w:rsidP="00265BC3">
            <w:pPr>
              <w:spacing w:before="40" w:after="40"/>
              <w:jc w:val="center"/>
              <w:rPr>
                <w:color w:val="000000"/>
                <w:szCs w:val="22"/>
              </w:rPr>
            </w:pPr>
            <w:r>
              <w:rPr>
                <w:color w:val="000000"/>
                <w:szCs w:val="22"/>
                <w:lang w:val="en-US"/>
              </w:rPr>
              <w:t>1</w:t>
            </w:r>
            <w:r w:rsidR="00CB0597">
              <w:rPr>
                <w:color w:val="000000"/>
                <w:szCs w:val="22"/>
                <w:lang w:val="en-US"/>
              </w:rPr>
              <w:t>%</w:t>
            </w:r>
          </w:p>
        </w:tc>
      </w:tr>
      <w:tr w:rsidR="00CB0597" w:rsidTr="00886C5B">
        <w:trPr>
          <w:trHeight w:val="170"/>
        </w:trPr>
        <w:tc>
          <w:tcPr>
            <w:tcW w:w="2605" w:type="dxa"/>
            <w:tcBorders>
              <w:bottom w:val="nil"/>
            </w:tcBorders>
            <w:vAlign w:val="center"/>
          </w:tcPr>
          <w:p w:rsidR="00CB0597" w:rsidRPr="00296A40" w:rsidRDefault="00CB0597" w:rsidP="00265BC3">
            <w:pPr>
              <w:spacing w:before="40" w:after="40"/>
            </w:pPr>
            <w:r w:rsidRPr="00296A40">
              <w:t>TAS</w:t>
            </w:r>
          </w:p>
        </w:tc>
        <w:tc>
          <w:tcPr>
            <w:tcW w:w="2039" w:type="dxa"/>
            <w:tcBorders>
              <w:bottom w:val="nil"/>
            </w:tcBorders>
            <w:vAlign w:val="center"/>
          </w:tcPr>
          <w:p w:rsidR="00CB0597" w:rsidRDefault="00CB0597" w:rsidP="00265BC3">
            <w:pPr>
              <w:spacing w:before="40" w:after="40"/>
              <w:jc w:val="center"/>
              <w:rPr>
                <w:color w:val="000000"/>
                <w:szCs w:val="22"/>
              </w:rPr>
            </w:pPr>
            <w:r>
              <w:rPr>
                <w:color w:val="000000"/>
                <w:szCs w:val="22"/>
                <w:lang w:val="en-US"/>
              </w:rPr>
              <w:t>2%</w:t>
            </w:r>
          </w:p>
        </w:tc>
      </w:tr>
      <w:tr w:rsidR="00CB0597" w:rsidTr="00886C5B">
        <w:trPr>
          <w:trHeight w:val="170"/>
        </w:trPr>
        <w:tc>
          <w:tcPr>
            <w:tcW w:w="2605" w:type="dxa"/>
            <w:tcBorders>
              <w:top w:val="nil"/>
              <w:bottom w:val="single" w:sz="4" w:space="0" w:color="auto"/>
            </w:tcBorders>
            <w:vAlign w:val="center"/>
          </w:tcPr>
          <w:p w:rsidR="00CB0597" w:rsidRDefault="00CB0597" w:rsidP="00265BC3">
            <w:pPr>
              <w:spacing w:before="40" w:after="40"/>
            </w:pPr>
            <w:r w:rsidRPr="00296A40">
              <w:t>ACT</w:t>
            </w:r>
          </w:p>
        </w:tc>
        <w:tc>
          <w:tcPr>
            <w:tcW w:w="2039" w:type="dxa"/>
            <w:tcBorders>
              <w:top w:val="nil"/>
              <w:bottom w:val="single" w:sz="4" w:space="0" w:color="auto"/>
            </w:tcBorders>
            <w:vAlign w:val="center"/>
          </w:tcPr>
          <w:p w:rsidR="00CB0597" w:rsidRDefault="00CB0597" w:rsidP="00265BC3">
            <w:pPr>
              <w:spacing w:before="40" w:after="40"/>
              <w:jc w:val="center"/>
              <w:rPr>
                <w:color w:val="000000"/>
                <w:szCs w:val="22"/>
              </w:rPr>
            </w:pPr>
            <w:r>
              <w:rPr>
                <w:color w:val="000000"/>
                <w:szCs w:val="22"/>
                <w:lang w:val="en-US"/>
              </w:rPr>
              <w:t>2%</w:t>
            </w:r>
          </w:p>
        </w:tc>
      </w:tr>
    </w:tbl>
    <w:p w:rsidR="00265BC3" w:rsidRPr="00270839" w:rsidRDefault="00265BC3" w:rsidP="005A0A18">
      <w:pPr>
        <w:spacing w:before="600"/>
        <w:rPr>
          <w:rFonts w:eastAsiaTheme="majorEastAsia"/>
          <w:b/>
          <w:sz w:val="24"/>
        </w:rPr>
      </w:pPr>
      <w:r w:rsidRPr="00270839">
        <w:rPr>
          <w:rFonts w:eastAsiaTheme="majorEastAsia"/>
          <w:b/>
          <w:sz w:val="24"/>
        </w:rPr>
        <w:t xml:space="preserve">Reporting: </w:t>
      </w:r>
    </w:p>
    <w:p w:rsidR="00265BC3" w:rsidRPr="00265BC3" w:rsidRDefault="00265BC3" w:rsidP="00265BC3">
      <w:r>
        <w:t>Sta</w:t>
      </w:r>
      <w:r w:rsidR="00350642">
        <w:t>tistical significance is defined</w:t>
      </w:r>
      <w:r>
        <w:t xml:space="preserve"> as </w:t>
      </w:r>
      <w:r w:rsidR="00350642">
        <w:t xml:space="preserve">a significant difference at a 95% confidence level </w:t>
      </w:r>
      <w:r w:rsidR="00465020">
        <w:t>throughout</w:t>
      </w:r>
      <w:r w:rsidR="00350642">
        <w:t xml:space="preserve"> the report. </w:t>
      </w:r>
    </w:p>
    <w:p w:rsidR="00D01E97" w:rsidRPr="00270839" w:rsidRDefault="00D01E97" w:rsidP="00270839">
      <w:pPr>
        <w:rPr>
          <w:rFonts w:eastAsiaTheme="majorEastAsia"/>
          <w:b/>
          <w:sz w:val="24"/>
        </w:rPr>
      </w:pPr>
      <w:r w:rsidRPr="00270839">
        <w:rPr>
          <w:rFonts w:eastAsiaTheme="majorEastAsia"/>
          <w:b/>
          <w:sz w:val="24"/>
        </w:rPr>
        <w:t>Research team:</w:t>
      </w:r>
    </w:p>
    <w:p w:rsidR="00BC4927" w:rsidRDefault="00D01E97" w:rsidP="00E11D16">
      <w:pPr>
        <w:spacing w:after="720"/>
      </w:pPr>
      <w:r>
        <w:t>Pollinate is an independent market research consultancy with expertise acros</w:t>
      </w:r>
      <w:r w:rsidR="004B1FAB">
        <w:t xml:space="preserve">s a variety of government, </w:t>
      </w:r>
      <w:r w:rsidR="005550C7">
        <w:t>n</w:t>
      </w:r>
      <w:r w:rsidR="004B1FAB">
        <w:t>ot f</w:t>
      </w:r>
      <w:r>
        <w:t xml:space="preserve">or </w:t>
      </w:r>
      <w:r w:rsidR="005550C7">
        <w:t>p</w:t>
      </w:r>
      <w:r>
        <w:t>rofit and corporate clients.</w:t>
      </w:r>
    </w:p>
    <w:p w:rsidR="00BC4927" w:rsidRDefault="00BC4927" w:rsidP="00BC4927">
      <w:pPr>
        <w:jc w:val="center"/>
      </w:pPr>
      <w:r>
        <w:br w:type="page"/>
      </w:r>
    </w:p>
    <w:p w:rsidR="00C71564" w:rsidRDefault="00B53731" w:rsidP="00887613">
      <w:pPr>
        <w:pStyle w:val="Heading1"/>
      </w:pPr>
      <w:bookmarkStart w:id="13" w:name="_Toc435088762"/>
      <w:r>
        <w:lastRenderedPageBreak/>
        <w:t>Awareness &amp; Understanding</w:t>
      </w:r>
      <w:bookmarkEnd w:id="13"/>
    </w:p>
    <w:p w:rsidR="00404A53" w:rsidRDefault="00404A53" w:rsidP="00404A53">
      <w:pPr>
        <w:pStyle w:val="Heading2"/>
        <w:rPr>
          <w:b/>
        </w:rPr>
      </w:pPr>
      <w:bookmarkStart w:id="14" w:name="_How_well_do"/>
      <w:bookmarkStart w:id="15" w:name="_Toc435088763"/>
      <w:bookmarkEnd w:id="14"/>
      <w:r w:rsidRPr="00404A53">
        <w:t>Current awareness and understanding of the Health Star Rating system</w:t>
      </w:r>
      <w:bookmarkEnd w:id="15"/>
    </w:p>
    <w:p w:rsidR="00180DFC" w:rsidRPr="00EE2A31" w:rsidRDefault="00180DFC" w:rsidP="0043466C">
      <w:pPr>
        <w:pStyle w:val="Heading2"/>
      </w:pPr>
      <w:bookmarkStart w:id="16" w:name="_Toc435088764"/>
      <w:r w:rsidRPr="00EE2A31">
        <w:t>Awareness</w:t>
      </w:r>
      <w:bookmarkEnd w:id="16"/>
    </w:p>
    <w:p w:rsidR="00263CBF" w:rsidRDefault="00DC2611" w:rsidP="00263CBF">
      <w:r>
        <w:rPr>
          <w:b/>
        </w:rPr>
        <w:t>Overall</w:t>
      </w:r>
      <w:r w:rsidR="00007D4A">
        <w:rPr>
          <w:b/>
        </w:rPr>
        <w:t xml:space="preserve"> </w:t>
      </w:r>
      <w:r>
        <w:rPr>
          <w:b/>
        </w:rPr>
        <w:t>a</w:t>
      </w:r>
      <w:r w:rsidR="005B79EE" w:rsidRPr="00887613">
        <w:rPr>
          <w:b/>
        </w:rPr>
        <w:t xml:space="preserve">wareness of the Health Star Rating (HSR) has </w:t>
      </w:r>
      <w:r w:rsidR="00911CB8">
        <w:rPr>
          <w:b/>
        </w:rPr>
        <w:t xml:space="preserve">increased by </w:t>
      </w:r>
      <w:r w:rsidR="003C6954">
        <w:rPr>
          <w:b/>
        </w:rPr>
        <w:t>9</w:t>
      </w:r>
      <w:r w:rsidR="00911CB8">
        <w:rPr>
          <w:b/>
        </w:rPr>
        <w:t>% since April 2015</w:t>
      </w:r>
      <w:r w:rsidR="00A352BA">
        <w:rPr>
          <w:b/>
        </w:rPr>
        <w:t>, from 33% to 42%</w:t>
      </w:r>
      <w:r w:rsidR="00911CB8">
        <w:rPr>
          <w:b/>
        </w:rPr>
        <w:t>, and has tripled since September 2014</w:t>
      </w:r>
      <w:r>
        <w:t>. Forty-two percent of Australians now recognise the HSR</w:t>
      </w:r>
      <w:r w:rsidR="00A352BA">
        <w:t>.</w:t>
      </w:r>
    </w:p>
    <w:p w:rsidR="00887613" w:rsidRDefault="00D247C3" w:rsidP="00263CBF">
      <w:r>
        <w:t xml:space="preserve">Total spontaneous (unprompted) </w:t>
      </w:r>
      <w:r w:rsidR="00DD21C3">
        <w:t>awareness</w:t>
      </w:r>
      <w:r w:rsidR="00DC2611">
        <w:t xml:space="preserve"> of HSR is now higher than that </w:t>
      </w:r>
      <w:r w:rsidR="002017F5">
        <w:t>of</w:t>
      </w:r>
      <w:r>
        <w:t xml:space="preserve"> </w:t>
      </w:r>
      <w:r w:rsidR="00AE5469">
        <w:t xml:space="preserve">the </w:t>
      </w:r>
      <w:r w:rsidR="00A352BA">
        <w:t>N</w:t>
      </w:r>
      <w:r w:rsidR="00AE5469">
        <w:t xml:space="preserve">utrition </w:t>
      </w:r>
      <w:r w:rsidR="00A352BA">
        <w:t>I</w:t>
      </w:r>
      <w:r w:rsidR="00AE5469">
        <w:t xml:space="preserve">nformation </w:t>
      </w:r>
      <w:r w:rsidR="00A352BA">
        <w:t>P</w:t>
      </w:r>
      <w:r w:rsidR="00AE5469">
        <w:t>anel.</w:t>
      </w:r>
      <w:r w:rsidR="003C6954">
        <w:t xml:space="preserve"> </w:t>
      </w:r>
      <w:r w:rsidR="00DC2611">
        <w:t>S</w:t>
      </w:r>
      <w:r w:rsidR="003C6954">
        <w:t>pontaneous mention of HSR increased from no mentions in September 2014</w:t>
      </w:r>
      <w:r w:rsidR="00A352BA">
        <w:rPr>
          <w:rStyle w:val="FootnoteReference"/>
        </w:rPr>
        <w:footnoteReference w:id="1"/>
      </w:r>
      <w:r w:rsidR="003C6954">
        <w:t xml:space="preserve"> to 16% in September 2015.  </w:t>
      </w:r>
    </w:p>
    <w:p w:rsidR="005B79EE" w:rsidRDefault="000C49FA" w:rsidP="00D247C3">
      <w:pPr>
        <w:pStyle w:val="Caption"/>
      </w:pPr>
      <w:bookmarkStart w:id="17" w:name="_Toc427840915"/>
      <w:r>
        <w:t xml:space="preserve">Figure </w:t>
      </w:r>
      <w:fldSimple w:instr=" SEQ Figure \* ARABIC ">
        <w:r w:rsidR="005F2E92">
          <w:rPr>
            <w:noProof/>
          </w:rPr>
          <w:t>1</w:t>
        </w:r>
      </w:fldSimple>
      <w:r>
        <w:t xml:space="preserve"> - Awareness of nutrition logos and labelling</w:t>
      </w:r>
      <w:r w:rsidR="00815582">
        <w:rPr>
          <w:rStyle w:val="FootnoteReference"/>
        </w:rPr>
        <w:footnoteReference w:id="2"/>
      </w:r>
      <w:r w:rsidR="00AE328C">
        <w:t>,</w:t>
      </w:r>
      <w:r>
        <w:rPr>
          <w:rStyle w:val="FootnoteReference"/>
        </w:rPr>
        <w:footnoteReference w:id="3"/>
      </w:r>
      <w:bookmarkEnd w:id="17"/>
    </w:p>
    <w:p w:rsidR="00D247C3" w:rsidRDefault="00D247C3" w:rsidP="00887613">
      <w:pPr>
        <w:pStyle w:val="Caption"/>
      </w:pPr>
      <w:r w:rsidRPr="00D247C3">
        <w:rPr>
          <w:noProof/>
          <w:lang w:eastAsia="en-AU"/>
        </w:rPr>
        <w:drawing>
          <wp:inline distT="0" distB="0" distL="0" distR="0" wp14:anchorId="2B7C51CB" wp14:editId="5B5A96DC">
            <wp:extent cx="5273749" cy="3062177"/>
            <wp:effectExtent l="0" t="0" r="22225" b="24130"/>
            <wp:docPr id="4" name="Chart 4" descr="Figure 1 is a vertical bar chart illustrating top of mind spontaneous awareness, total spontaneous awareness and overall prompted awareness of a variety of different nutrition logos and labels. Also included in this figure is direct comparison of HSR awareness levels across the three waves of research in September 2014, April 2015 and September 2015. &#10;Overall awareness for each label is as follows: Heart Foundation Tick = 88%, Nutrition Information Pane = 62%, Daily Intake Guide Labelling = 53%, HSR as at September 2014 = 13%, HSR as at April 2015 = 28%, HSR as at September 2015 = 26%, Glycemic Index (GI) = 17%, Be Treatwise = 16%&#10;Total spontaneous awareness for each label is as follows: Heart Foundation Tick = 8%, Nutrition Information Panel = 6%, Daily Intake Guide Labelling = 3%, HSR as at  September 2014 = 0%, HSR  as at April 2015 = 3%, HSR as at September 2015 = 8%, Glycemic Index (GI) = 5%, Be Treatwise = 0%&#10;Top of Mind spontaneous awareness for each label is as follows: Heart Foundation Tick = 60%, Nutrition Information Panel = 3%, Daily Intake Guide Labelling = 1%, HSR as at September 2014 = 0%, HSR as at April 2015=  3%, HSR as at September 2015 = 8%, Glycemic Index (GI) = 2% and Be Treatwise = 0%. " title="Figure 1 - Awareness of nutrition logos and labell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87613" w:rsidRDefault="00887613" w:rsidP="00887613">
      <w:pPr>
        <w:pStyle w:val="Caption"/>
      </w:pPr>
      <w:r>
        <w:t xml:space="preserve">Base: All </w:t>
      </w:r>
      <w:r w:rsidR="00BA5BC1">
        <w:t>respondents (n=1000</w:t>
      </w:r>
      <w:r>
        <w:t xml:space="preserve">). </w:t>
      </w:r>
    </w:p>
    <w:p w:rsidR="00180DFC" w:rsidRPr="00180DFC" w:rsidRDefault="00180DFC" w:rsidP="00180DFC"/>
    <w:p w:rsidR="005B79EE" w:rsidRDefault="005B79EE" w:rsidP="005B79EE">
      <w:r w:rsidRPr="005B79EE">
        <w:t>Awareness of the HSR i</w:t>
      </w:r>
      <w:r w:rsidR="00BA5BC1">
        <w:t>s highest among young people (55</w:t>
      </w:r>
      <w:r w:rsidRPr="005B79EE">
        <w:t xml:space="preserve">% </w:t>
      </w:r>
      <w:r w:rsidR="005550C7">
        <w:t>for</w:t>
      </w:r>
      <w:r w:rsidR="005550C7" w:rsidRPr="005B79EE">
        <w:t xml:space="preserve"> </w:t>
      </w:r>
      <w:r w:rsidRPr="005B79EE">
        <w:t>18-24 year olds) a</w:t>
      </w:r>
      <w:r w:rsidR="00BA5BC1">
        <w:t>nd lowest among older people (32</w:t>
      </w:r>
      <w:r w:rsidRPr="005B79EE">
        <w:t xml:space="preserve">% </w:t>
      </w:r>
      <w:r w:rsidR="005550C7">
        <w:t>for</w:t>
      </w:r>
      <w:r w:rsidR="005550C7" w:rsidRPr="005B79EE">
        <w:t xml:space="preserve"> </w:t>
      </w:r>
      <w:r w:rsidR="00BA5BC1">
        <w:t>65 and over</w:t>
      </w:r>
      <w:r w:rsidRPr="005B79EE">
        <w:t>)</w:t>
      </w:r>
      <w:r w:rsidR="00815582">
        <w:t xml:space="preserve">, which is a </w:t>
      </w:r>
      <w:r w:rsidR="00815582">
        <w:lastRenderedPageBreak/>
        <w:t>typical response</w:t>
      </w:r>
      <w:r w:rsidR="0043466C">
        <w:t xml:space="preserve"> </w:t>
      </w:r>
      <w:r w:rsidR="00875201">
        <w:t>to new products/ brands</w:t>
      </w:r>
      <w:r w:rsidR="00BC7094">
        <w:rPr>
          <w:rStyle w:val="FootnoteReference"/>
        </w:rPr>
        <w:footnoteReference w:id="4"/>
      </w:r>
      <w:r w:rsidR="00261C85">
        <w:t>,</w:t>
      </w:r>
      <w:r w:rsidR="00261C85" w:rsidRPr="005B79EE">
        <w:t xml:space="preserve"> however</w:t>
      </w:r>
      <w:r w:rsidRPr="005B79EE">
        <w:t xml:space="preserve"> the increase among young people is </w:t>
      </w:r>
      <w:r w:rsidR="00EC0678">
        <w:t>notable</w:t>
      </w:r>
      <w:r w:rsidR="00BC7094">
        <w:t xml:space="preserve"> and worthy of further investigation</w:t>
      </w:r>
      <w:r w:rsidR="007919C3">
        <w:t>.</w:t>
      </w:r>
    </w:p>
    <w:p w:rsidR="00477999" w:rsidRDefault="00477999" w:rsidP="005B79EE">
      <w:r>
        <w:t xml:space="preserve">There was a significant increase in awareness from the benchmark measure across every age group. </w:t>
      </w:r>
      <w:r w:rsidR="00BB4E94">
        <w:t xml:space="preserve">The lowest increase can be seen in those aged 65 and over. </w:t>
      </w:r>
    </w:p>
    <w:p w:rsidR="000C49FA" w:rsidRDefault="000C49FA" w:rsidP="000C49FA">
      <w:pPr>
        <w:pStyle w:val="Caption"/>
      </w:pPr>
      <w:bookmarkStart w:id="18" w:name="_Toc427840916"/>
      <w:r>
        <w:t xml:space="preserve">Figure </w:t>
      </w:r>
      <w:fldSimple w:instr=" SEQ Figure \* ARABIC ">
        <w:r w:rsidR="005F2E92">
          <w:rPr>
            <w:noProof/>
          </w:rPr>
          <w:t>2</w:t>
        </w:r>
      </w:fldSimple>
      <w:r>
        <w:t xml:space="preserve"> - Awareness of HSR by age</w:t>
      </w:r>
      <w:bookmarkEnd w:id="18"/>
    </w:p>
    <w:p w:rsidR="005B79EE" w:rsidRDefault="006C0FEA" w:rsidP="005B79EE">
      <w:r w:rsidRPr="00E2693C">
        <w:rPr>
          <w:noProof/>
          <w:shd w:val="clear" w:color="auto" w:fill="FDE9D9" w:themeFill="accent6" w:themeFillTint="33"/>
          <w:lang w:eastAsia="en-AU"/>
        </w:rPr>
        <w:drawing>
          <wp:inline distT="0" distB="0" distL="0" distR="0" wp14:anchorId="3D5A6604" wp14:editId="5008771A">
            <wp:extent cx="5284382" cy="3774558"/>
            <wp:effectExtent l="0" t="0" r="12065" b="16510"/>
            <wp:docPr id="18" name="Chart 18" descr="Figure 2 is a horizontal bar chart. The chart illustrates awareness of HSR by age across the 3 different waves (September 14, April 2015 and September 2015). Notably, awareness of HSR has increased from the benchmark measure across every age group. The proportions in the chart are discussed in the preceding paragraph. Detailed findings are as follows. &#10;In September 2015, the total = 42%. Results broken down by age: 18 - 24 year olds = 55%, 25 - 34 year olds = 47%, 35 - 44 year olds = 45%, 45 - 54 year olds = 38%, 55 - 64 year olds = 35%, 65 - 84 year olds = 32%&#10;Results as at April 2015, the total awareness = 33%. Results broken down by age: 18-24 year olds = 47%, 25 - 34 year olds = 39%, 35 - 44 year olds = 34%, 45 - 54 year olds = 30%, 55 - 64 year olds = 24%, 65 - 84 year olds = 26%&#10;Results as at September 2014, the total awareness = 13%. Results broken down by age: 18-24 year olds = 18%, 25 - 34 year olds = 10%, 35 - 44 year olds = 15%, 45 - 54 year olds = 13%, 55 - 64 year olds = 9%, 65 - 84 year olds = 12%&#10;" title="Figure 2 - Awareness of HSR by 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B79EE" w:rsidRPr="00A70AE0" w:rsidRDefault="000C49FA" w:rsidP="005B79EE">
      <w:pPr>
        <w:rPr>
          <w:sz w:val="20"/>
          <w:szCs w:val="20"/>
          <w:lang w:val="pt-BR"/>
        </w:rPr>
      </w:pPr>
      <w:r w:rsidRPr="00A70AE0">
        <w:rPr>
          <w:bCs/>
          <w:color w:val="404040" w:themeColor="text1" w:themeTint="BF"/>
          <w:sz w:val="20"/>
          <w:szCs w:val="20"/>
        </w:rPr>
        <w:t xml:space="preserve">Base: </w:t>
      </w:r>
      <w:r w:rsidR="001E72DE" w:rsidRPr="00A70AE0">
        <w:rPr>
          <w:bCs/>
          <w:color w:val="404040" w:themeColor="text1" w:themeTint="BF"/>
          <w:sz w:val="20"/>
          <w:szCs w:val="20"/>
        </w:rPr>
        <w:t>All respondents {</w:t>
      </w:r>
      <w:r w:rsidR="001E72DE" w:rsidRPr="00A70AE0">
        <w:rPr>
          <w:sz w:val="20"/>
          <w:szCs w:val="20"/>
          <w:lang w:val="pt-BR"/>
        </w:rPr>
        <w:t>18-24 (n=137), 25 - 34 (n=185), 35 - 44 (n=208), 45 - 54 (n=186), 55 - 64 (n=145), 65 and over (n=150)}</w:t>
      </w:r>
    </w:p>
    <w:p w:rsidR="005B79EE" w:rsidRDefault="005B79EE" w:rsidP="00C576E9">
      <w:pPr>
        <w:spacing w:before="360"/>
      </w:pPr>
      <w:r w:rsidRPr="005B79EE">
        <w:t xml:space="preserve">Significant differences in prompted </w:t>
      </w:r>
      <w:r>
        <w:t xml:space="preserve">awareness </w:t>
      </w:r>
      <w:r w:rsidR="00240A30">
        <w:t xml:space="preserve">are also </w:t>
      </w:r>
      <w:r w:rsidR="0076510D">
        <w:t>apparent</w:t>
      </w:r>
      <w:r w:rsidR="00362875">
        <w:t xml:space="preserve"> </w:t>
      </w:r>
      <w:r w:rsidR="00240A30">
        <w:t>by</w:t>
      </w:r>
      <w:r w:rsidRPr="005B79EE">
        <w:t xml:space="preserve"> respondent Body Mass Index</w:t>
      </w:r>
      <w:r w:rsidR="00495DC2">
        <w:rPr>
          <w:rStyle w:val="FootnoteReference"/>
        </w:rPr>
        <w:footnoteReference w:id="5"/>
      </w:r>
      <w:r w:rsidRPr="005B79EE">
        <w:t xml:space="preserve"> (BMI) – while awareness has increased significantly among obese people since September 2014, it </w:t>
      </w:r>
      <w:r w:rsidR="00E6493C">
        <w:t>still remains</w:t>
      </w:r>
      <w:r w:rsidRPr="005B79EE">
        <w:t xml:space="preserve"> notably behind that of healthy weight people. Awareness is highest among </w:t>
      </w:r>
      <w:r w:rsidR="00584E57">
        <w:t>people</w:t>
      </w:r>
      <w:r w:rsidR="00007D4A">
        <w:t xml:space="preserve"> with a health</w:t>
      </w:r>
      <w:r w:rsidR="00BA6107">
        <w:t>y</w:t>
      </w:r>
      <w:r w:rsidR="00007D4A">
        <w:t xml:space="preserve"> BMI</w:t>
      </w:r>
      <w:r w:rsidR="00584E57">
        <w:t xml:space="preserve"> (46</w:t>
      </w:r>
      <w:r w:rsidRPr="005B79EE">
        <w:t>%) and lowest among the obese Class II &amp; III</w:t>
      </w:r>
      <w:r w:rsidR="002D5E13">
        <w:rPr>
          <w:rStyle w:val="FootnoteReference"/>
        </w:rPr>
        <w:footnoteReference w:id="6"/>
      </w:r>
      <w:r w:rsidR="00584E57">
        <w:t xml:space="preserve"> (29</w:t>
      </w:r>
      <w:r w:rsidRPr="005B79EE">
        <w:t>%)</w:t>
      </w:r>
      <w:r w:rsidR="00BA6107">
        <w:t xml:space="preserve"> people</w:t>
      </w:r>
      <w:r w:rsidRPr="005B79EE">
        <w:t>.</w:t>
      </w:r>
    </w:p>
    <w:p w:rsidR="00240A30" w:rsidRDefault="00240A30">
      <w:pPr>
        <w:spacing w:after="0" w:line="240" w:lineRule="auto"/>
        <w:rPr>
          <w:bCs/>
          <w:color w:val="404040" w:themeColor="text1" w:themeTint="BF"/>
          <w:sz w:val="20"/>
          <w:szCs w:val="18"/>
        </w:rPr>
      </w:pPr>
      <w:r>
        <w:br w:type="page"/>
      </w:r>
    </w:p>
    <w:p w:rsidR="00A70AE0" w:rsidRDefault="00A70AE0" w:rsidP="00A70AE0">
      <w:pPr>
        <w:pStyle w:val="Caption"/>
      </w:pPr>
      <w:r>
        <w:lastRenderedPageBreak/>
        <w:t xml:space="preserve">Figure </w:t>
      </w:r>
      <w:fldSimple w:instr=" SEQ Figure \* ARABIC ">
        <w:r w:rsidR="005F2E92">
          <w:rPr>
            <w:noProof/>
          </w:rPr>
          <w:t>3</w:t>
        </w:r>
      </w:fldSimple>
      <w:r>
        <w:t xml:space="preserve"> </w:t>
      </w:r>
      <w:r w:rsidR="00BD47B3">
        <w:t>–</w:t>
      </w:r>
      <w:r>
        <w:t xml:space="preserve"> </w:t>
      </w:r>
      <w:r w:rsidR="00BD47B3">
        <w:t xml:space="preserve">Prompted </w:t>
      </w:r>
      <w:r>
        <w:t xml:space="preserve">Awareness of HSR by Body </w:t>
      </w:r>
      <w:r w:rsidR="00D44BED">
        <w:t>M</w:t>
      </w:r>
      <w:r>
        <w:t>ass Index (BMI)</w:t>
      </w:r>
    </w:p>
    <w:p w:rsidR="00A70AE0" w:rsidRPr="00A70AE0" w:rsidRDefault="00584E57" w:rsidP="00A70AE0">
      <w:r w:rsidRPr="0022391D">
        <w:rPr>
          <w:noProof/>
          <w:lang w:eastAsia="en-AU"/>
        </w:rPr>
        <w:drawing>
          <wp:inline distT="0" distB="0" distL="0" distR="0" wp14:anchorId="6FCDFD81" wp14:editId="4C832EA1">
            <wp:extent cx="5273749" cy="3540642"/>
            <wp:effectExtent l="0" t="0" r="22225" b="22225"/>
            <wp:docPr id="9" name="Chart 9" descr="Figure 3 is a horizontal bar chart showing prompted awareness of the HSR by body mass index across the 3 different waves (September 2014, April 2015 and September 2015). There are increases in awareness for each group across each wave, with a trend that those in the obese class 2 and 3 show lower awareness than other groups in the last two waves of research. &#10;The proportions in the chart are discussed in the preceding paragraph. Detailed findings are as follows.&#10;In September 2015, total awareness = 42%. Results broken down by BMI range: BMI in Healthy weight range 46%, BMI in Overweight range = 39%, BMI in Obese Class I range = 41%, BMI in Obese Class II + III range = 29%.&#10;Results as at April2015: total awareness = 33%. Results broken down by BMI range:BMI in Healthy weight range = 38%, BMI in Overweight range = 33%, BMI in  Obese Class I range = 34%, BMI in Obese Class II + III range = 26%&#10;Results as at September 2014: total awareness = 13%. Results broken down by BMI range: BMI in Healthy weight range = 15%, BMI in Overweight range= 13%, BMI in Obese Class I range = 12%, BMI in Obese Class II + III range = 11%.&#10;" title="Title: Figure 3 – Prompted Awareness of HSR by Body Mass Index (BMI)"/>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70AE0" w:rsidRDefault="00A70AE0" w:rsidP="00A70AE0">
      <w:pPr>
        <w:pStyle w:val="Caption"/>
      </w:pPr>
      <w:r w:rsidRPr="00A70AE0">
        <w:t xml:space="preserve">Base: All respondents {BMI: Healthy weight range (n=340), BMI - Overweight (n=233), BMI - Obese Class I (n=105), BMI - Obese Class II + III (n=47)} </w:t>
      </w:r>
    </w:p>
    <w:p w:rsidR="00A70AE0" w:rsidRDefault="00A70AE0" w:rsidP="00A70AE0">
      <w:pPr>
        <w:pStyle w:val="Caption"/>
      </w:pPr>
    </w:p>
    <w:p w:rsidR="00C576E9" w:rsidRPr="00356641" w:rsidRDefault="00A70AE0" w:rsidP="00A70AE0">
      <w:r w:rsidRPr="00356641">
        <w:t>Other groups showing a gap in awareness of the HSR are</w:t>
      </w:r>
      <w:r w:rsidR="00C576E9" w:rsidRPr="00356641">
        <w:t>:</w:t>
      </w:r>
    </w:p>
    <w:p w:rsidR="00C476B3" w:rsidRPr="00356641" w:rsidRDefault="00A70AE0" w:rsidP="00EE2A31">
      <w:pPr>
        <w:pStyle w:val="ListParagraph"/>
        <w:numPr>
          <w:ilvl w:val="0"/>
          <w:numId w:val="11"/>
        </w:numPr>
      </w:pPr>
      <w:r w:rsidRPr="00356641">
        <w:t>m</w:t>
      </w:r>
      <w:r w:rsidR="0026725C">
        <w:t>ales compared to females (34% vs. 4</w:t>
      </w:r>
      <w:r w:rsidRPr="00356641">
        <w:t>6%),</w:t>
      </w:r>
      <w:r w:rsidR="00D44BED">
        <w:t xml:space="preserve"> and</w:t>
      </w:r>
    </w:p>
    <w:p w:rsidR="00C476B3" w:rsidRPr="00356641" w:rsidRDefault="0026725C" w:rsidP="00EE2A31">
      <w:pPr>
        <w:pStyle w:val="ListParagraph"/>
        <w:numPr>
          <w:ilvl w:val="0"/>
          <w:numId w:val="11"/>
        </w:numPr>
      </w:pPr>
      <w:r>
        <w:t xml:space="preserve">QLD </w:t>
      </w:r>
      <w:r w:rsidR="00DC783F">
        <w:t>compared to the total sample (37% vs. 42%).</w:t>
      </w:r>
      <w:r w:rsidR="00C476B3" w:rsidRPr="00356641">
        <w:t xml:space="preserve"> </w:t>
      </w:r>
    </w:p>
    <w:p w:rsidR="00737C54" w:rsidRPr="00356641" w:rsidRDefault="00737C54" w:rsidP="00737C54">
      <w:r>
        <w:t xml:space="preserve">However, low SES </w:t>
      </w:r>
      <w:r w:rsidR="00DC783F">
        <w:t xml:space="preserve">respondents </w:t>
      </w:r>
      <w:r>
        <w:t xml:space="preserve">and </w:t>
      </w:r>
      <w:r w:rsidR="00DC783F">
        <w:t xml:space="preserve">those </w:t>
      </w:r>
      <w:r>
        <w:t>who speak only English at home are n</w:t>
      </w:r>
      <w:r w:rsidR="00BE74AA">
        <w:t>o longer significantly lower in their</w:t>
      </w:r>
      <w:r>
        <w:t xml:space="preserve"> awareness of HSR</w:t>
      </w:r>
      <w:r w:rsidR="00362875">
        <w:t xml:space="preserve">, as was found in the </w:t>
      </w:r>
      <w:r w:rsidR="003749EB">
        <w:t>April 2015</w:t>
      </w:r>
      <w:r w:rsidR="00362875">
        <w:t xml:space="preserve"> survey</w:t>
      </w:r>
      <w:r>
        <w:t>.</w:t>
      </w:r>
    </w:p>
    <w:p w:rsidR="007B50B0" w:rsidRDefault="00A70AE0" w:rsidP="008560ED">
      <w:pPr>
        <w:spacing w:after="360"/>
        <w:rPr>
          <w:iCs/>
        </w:rPr>
      </w:pPr>
      <w:r w:rsidRPr="00712170">
        <w:t>Awareness</w:t>
      </w:r>
      <w:r w:rsidR="00CB5FDD">
        <w:t xml:space="preserve"> of the HSR</w:t>
      </w:r>
      <w:r w:rsidRPr="00712170">
        <w:t xml:space="preserve"> is driven mostly by </w:t>
      </w:r>
      <w:r w:rsidR="00DC783F">
        <w:t>‘</w:t>
      </w:r>
      <w:r w:rsidRPr="00712170">
        <w:rPr>
          <w:iCs/>
        </w:rPr>
        <w:t>on pack</w:t>
      </w:r>
      <w:r w:rsidR="00DC783F">
        <w:rPr>
          <w:iCs/>
        </w:rPr>
        <w:t>’</w:t>
      </w:r>
      <w:r w:rsidR="00B44DF8">
        <w:rPr>
          <w:iCs/>
        </w:rPr>
        <w:t xml:space="preserve"> (71</w:t>
      </w:r>
      <w:r w:rsidRPr="00712170">
        <w:rPr>
          <w:iCs/>
        </w:rPr>
        <w:t xml:space="preserve">%) </w:t>
      </w:r>
      <w:r w:rsidR="0085772D">
        <w:t xml:space="preserve">and </w:t>
      </w:r>
      <w:r w:rsidR="00DC783F">
        <w:t>‘</w:t>
      </w:r>
      <w:r w:rsidR="00B44DF8">
        <w:rPr>
          <w:iCs/>
        </w:rPr>
        <w:t>in a TV ad</w:t>
      </w:r>
      <w:r w:rsidR="00DC783F">
        <w:rPr>
          <w:iCs/>
        </w:rPr>
        <w:t>’</w:t>
      </w:r>
      <w:r w:rsidR="00AB55B0">
        <w:rPr>
          <w:iCs/>
        </w:rPr>
        <w:t xml:space="preserve"> </w:t>
      </w:r>
      <w:r w:rsidR="00B44DF8">
        <w:rPr>
          <w:iCs/>
        </w:rPr>
        <w:t>(29</w:t>
      </w:r>
      <w:r w:rsidRPr="00712170">
        <w:rPr>
          <w:iCs/>
        </w:rPr>
        <w:t>%)</w:t>
      </w:r>
      <w:r w:rsidR="00E27E0E">
        <w:rPr>
          <w:iCs/>
        </w:rPr>
        <w:t>. I</w:t>
      </w:r>
      <w:r w:rsidR="007B50B0">
        <w:rPr>
          <w:iCs/>
        </w:rPr>
        <w:t>t should be noted that there has been advertising around HSR on television from food brands.</w:t>
      </w:r>
      <w:r w:rsidR="008E00FF">
        <w:rPr>
          <w:iCs/>
        </w:rPr>
        <w:t xml:space="preserve"> </w:t>
      </w:r>
      <w:r w:rsidRPr="00712170">
        <w:rPr>
          <w:iCs/>
        </w:rPr>
        <w:t xml:space="preserve">Other common sources are </w:t>
      </w:r>
      <w:r w:rsidR="002F3CEE">
        <w:rPr>
          <w:iCs/>
        </w:rPr>
        <w:t xml:space="preserve">on </w:t>
      </w:r>
      <w:r w:rsidRPr="00712170">
        <w:rPr>
          <w:iCs/>
        </w:rPr>
        <w:t>the news</w:t>
      </w:r>
      <w:r w:rsidR="00AB55B0">
        <w:rPr>
          <w:iCs/>
        </w:rPr>
        <w:t xml:space="preserve"> </w:t>
      </w:r>
      <w:r w:rsidR="00B44DF8">
        <w:rPr>
          <w:iCs/>
        </w:rPr>
        <w:t>(19</w:t>
      </w:r>
      <w:r w:rsidR="002F3CEE">
        <w:rPr>
          <w:iCs/>
        </w:rPr>
        <w:t>%)</w:t>
      </w:r>
      <w:r w:rsidRPr="00712170">
        <w:rPr>
          <w:iCs/>
        </w:rPr>
        <w:t xml:space="preserve">, </w:t>
      </w:r>
      <w:r w:rsidR="002F3CEE">
        <w:rPr>
          <w:iCs/>
        </w:rPr>
        <w:t xml:space="preserve">store </w:t>
      </w:r>
      <w:r w:rsidRPr="00712170">
        <w:rPr>
          <w:iCs/>
        </w:rPr>
        <w:t>catalogues</w:t>
      </w:r>
      <w:r w:rsidR="00F72009">
        <w:rPr>
          <w:iCs/>
        </w:rPr>
        <w:t xml:space="preserve"> (</w:t>
      </w:r>
      <w:r w:rsidR="00B44DF8">
        <w:rPr>
          <w:iCs/>
        </w:rPr>
        <w:t>18</w:t>
      </w:r>
      <w:r w:rsidR="002F3CEE">
        <w:rPr>
          <w:iCs/>
        </w:rPr>
        <w:t>%</w:t>
      </w:r>
      <w:r w:rsidR="00F72009">
        <w:rPr>
          <w:iCs/>
        </w:rPr>
        <w:t>)</w:t>
      </w:r>
      <w:r w:rsidR="0085772D">
        <w:rPr>
          <w:iCs/>
        </w:rPr>
        <w:t>, in store promotion</w:t>
      </w:r>
      <w:r w:rsidR="00BE74AA">
        <w:rPr>
          <w:iCs/>
        </w:rPr>
        <w:t xml:space="preserve"> (15%</w:t>
      </w:r>
      <w:r w:rsidR="007B50B0">
        <w:rPr>
          <w:iCs/>
        </w:rPr>
        <w:t xml:space="preserve"> - which may have been influenced by OOH advertisements (</w:t>
      </w:r>
      <w:proofErr w:type="spellStart"/>
      <w:r w:rsidR="007B50B0">
        <w:rPr>
          <w:iCs/>
        </w:rPr>
        <w:t>digilites</w:t>
      </w:r>
      <w:proofErr w:type="spellEnd"/>
      <w:r w:rsidR="007B50B0">
        <w:rPr>
          <w:iCs/>
        </w:rPr>
        <w:t xml:space="preserve"> and shop-a-</w:t>
      </w:r>
      <w:proofErr w:type="spellStart"/>
      <w:r w:rsidR="007B50B0">
        <w:rPr>
          <w:iCs/>
        </w:rPr>
        <w:t>lites</w:t>
      </w:r>
      <w:proofErr w:type="spellEnd"/>
      <w:r w:rsidR="007B50B0">
        <w:rPr>
          <w:iCs/>
        </w:rPr>
        <w:t xml:space="preserve"> placed outside of shopping centres and supermarkets</w:t>
      </w:r>
      <w:r w:rsidR="002C7653">
        <w:rPr>
          <w:iCs/>
        </w:rPr>
        <w:t>)</w:t>
      </w:r>
      <w:r w:rsidR="00BE74AA">
        <w:rPr>
          <w:iCs/>
        </w:rPr>
        <w:t>) and,</w:t>
      </w:r>
      <w:r w:rsidR="00B44DF8">
        <w:rPr>
          <w:iCs/>
        </w:rPr>
        <w:t xml:space="preserve"> </w:t>
      </w:r>
      <w:r w:rsidR="00F72009">
        <w:rPr>
          <w:iCs/>
        </w:rPr>
        <w:t>food brand or supermarket website (12%)</w:t>
      </w:r>
      <w:r>
        <w:rPr>
          <w:iCs/>
        </w:rPr>
        <w:t>.</w:t>
      </w:r>
      <w:r w:rsidR="00F72009">
        <w:rPr>
          <w:iCs/>
        </w:rPr>
        <w:t xml:space="preserve"> </w:t>
      </w:r>
    </w:p>
    <w:p w:rsidR="00DA787F" w:rsidRDefault="00F72009" w:rsidP="008560ED">
      <w:pPr>
        <w:spacing w:after="360"/>
        <w:rPr>
          <w:iCs/>
        </w:rPr>
      </w:pPr>
      <w:r>
        <w:rPr>
          <w:iCs/>
        </w:rPr>
        <w:t>Word of mouth/social media sources, as well as (other) advertising media were also mentioned</w:t>
      </w:r>
      <w:r w:rsidR="00BA6107">
        <w:rPr>
          <w:iCs/>
        </w:rPr>
        <w:t>, as described in Figure 4 below.</w:t>
      </w:r>
      <w:r>
        <w:rPr>
          <w:iCs/>
        </w:rPr>
        <w:t xml:space="preserve"> </w:t>
      </w:r>
    </w:p>
    <w:p w:rsidR="00DA787F" w:rsidRDefault="00DA787F">
      <w:pPr>
        <w:spacing w:after="0" w:line="240" w:lineRule="auto"/>
        <w:rPr>
          <w:iCs/>
        </w:rPr>
      </w:pPr>
      <w:r>
        <w:rPr>
          <w:iCs/>
        </w:rPr>
        <w:br w:type="page"/>
      </w:r>
    </w:p>
    <w:p w:rsidR="003A4F75" w:rsidRPr="003A4F75" w:rsidRDefault="003A4F75" w:rsidP="00834BBF">
      <w:pPr>
        <w:pStyle w:val="Caption"/>
      </w:pPr>
      <w:r w:rsidRPr="003A4F75">
        <w:lastRenderedPageBreak/>
        <w:t>Figure 4 – Where have you seen, heard or read about the Health Star Rating?</w:t>
      </w:r>
    </w:p>
    <w:p w:rsidR="003A4F75" w:rsidRDefault="003A4F75" w:rsidP="003A4F75">
      <w:pPr>
        <w:spacing w:after="0"/>
        <w:rPr>
          <w:iCs/>
        </w:rPr>
      </w:pPr>
      <w:r w:rsidRPr="003A4F75">
        <w:rPr>
          <w:iCs/>
          <w:noProof/>
          <w:lang w:eastAsia="en-AU"/>
        </w:rPr>
        <w:drawing>
          <wp:inline distT="0" distB="0" distL="0" distR="0" wp14:anchorId="5FA0BE90" wp14:editId="34BB7F9E">
            <wp:extent cx="5273749" cy="3009014"/>
            <wp:effectExtent l="0" t="0" r="22225" b="20320"/>
            <wp:docPr id="24" name="Chart 24" descr="Figure 4 is a horizontal bar chart illustrating where respondents have seen, heard or read about the Health Star Rating through a variety of different statements/resources. Reponses were not mutually exclusive. The results are discussed in the paragraph preceding Figure 4. Detailed results follow.&#10;Notably higher than all other options was ‘ On food packaging’ at 71%. Proportions of other responses in descending order are: In a TV ad, 29%; Heard/ saw/ read about it in the news, 19%; In a catalogue, 18%: In store promotion, 15%; Food brand or supermarket website, 12%; In a paper newspaper or magazine, 11%. &#10;Nine responses were under10%: From a friend, work colleague or family member, 7%; A post on social media, 6%, On posters/ digital posters in shopping centres, 5%; In online reviews/ blogs/ opinion pieces, 4%; In an online newspaper or magazine, 4%; In an online ad, 4%; On the radio, 2%; YouTube / online video streaming, 2%; and, On a bus shelter/ on the street or other outdoor areas; 1%&#10;2% said ‘other, 7% stated they could not remember. &#10;" title="Figure 4 – Where have you seen, heard or read about the Health Star Rat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414CD" w:rsidRPr="003A4F75" w:rsidRDefault="003A4F75" w:rsidP="003A4F75">
      <w:pPr>
        <w:spacing w:after="0"/>
        <w:rPr>
          <w:sz w:val="20"/>
          <w:szCs w:val="20"/>
        </w:rPr>
      </w:pPr>
      <w:r w:rsidRPr="003A4F75">
        <w:rPr>
          <w:sz w:val="20"/>
          <w:szCs w:val="20"/>
        </w:rPr>
        <w:t xml:space="preserve">Base: </w:t>
      </w:r>
      <w:r w:rsidR="00B044CB">
        <w:rPr>
          <w:sz w:val="20"/>
          <w:szCs w:val="20"/>
        </w:rPr>
        <w:t>Those aware of HSR</w:t>
      </w:r>
      <w:r w:rsidRPr="003A4F75">
        <w:rPr>
          <w:sz w:val="20"/>
          <w:szCs w:val="20"/>
        </w:rPr>
        <w:t xml:space="preserve"> n=41</w:t>
      </w:r>
      <w:r w:rsidR="00B044CB">
        <w:rPr>
          <w:sz w:val="20"/>
          <w:szCs w:val="20"/>
        </w:rPr>
        <w:t>9</w:t>
      </w:r>
    </w:p>
    <w:p w:rsidR="00DD21C3" w:rsidRDefault="009D4459" w:rsidP="00F864EC">
      <w:pPr>
        <w:spacing w:before="360" w:after="240"/>
      </w:pPr>
      <w:r>
        <w:t>Among</w:t>
      </w:r>
      <w:r w:rsidR="006874C6">
        <w:t xml:space="preserve"> the 42% of people who are aware of the HSR, n</w:t>
      </w:r>
      <w:r w:rsidR="00082BEB">
        <w:t>early half</w:t>
      </w:r>
      <w:r w:rsidR="00DA787F">
        <w:t xml:space="preserve"> (43%</w:t>
      </w:r>
      <w:r w:rsidR="009A678D">
        <w:t xml:space="preserve"> </w:t>
      </w:r>
      <w:r w:rsidR="00BA6107">
        <w:t>representing</w:t>
      </w:r>
      <w:r w:rsidR="009A678D">
        <w:t xml:space="preserve"> 18% of total sample</w:t>
      </w:r>
      <w:r w:rsidR="00DA787F">
        <w:t>)</w:t>
      </w:r>
      <w:r w:rsidR="00082BEB">
        <w:t xml:space="preserve"> </w:t>
      </w:r>
      <w:r w:rsidR="009A678D">
        <w:t xml:space="preserve">say </w:t>
      </w:r>
      <w:r w:rsidR="00082BEB">
        <w:t xml:space="preserve">they have bought a </w:t>
      </w:r>
      <w:r w:rsidR="00DD21C3">
        <w:t>product with the HSR displayed</w:t>
      </w:r>
      <w:r w:rsidR="00F22948">
        <w:t>, re</w:t>
      </w:r>
      <w:r w:rsidR="00030793">
        <w:t>flecting</w:t>
      </w:r>
      <w:r w:rsidR="009D156C">
        <w:t xml:space="preserve"> the growing awareness</w:t>
      </w:r>
      <w:r w:rsidR="00DA787F">
        <w:t xml:space="preserve"> of HSR</w:t>
      </w:r>
      <w:r w:rsidR="00CE5062">
        <w:t xml:space="preserve">. </w:t>
      </w:r>
      <w:r w:rsidR="006874C6">
        <w:t xml:space="preserve">Of those who recall the product they bought, </w:t>
      </w:r>
      <w:r w:rsidR="005253B9">
        <w:t>one quarter</w:t>
      </w:r>
      <w:r w:rsidR="00CB5FDD">
        <w:t xml:space="preserve"> </w:t>
      </w:r>
      <w:r w:rsidR="006874C6">
        <w:t xml:space="preserve">of people </w:t>
      </w:r>
      <w:r w:rsidR="00ED1E84">
        <w:t xml:space="preserve">believe the most recent product bought </w:t>
      </w:r>
      <w:r w:rsidR="00030793">
        <w:t xml:space="preserve">displaying </w:t>
      </w:r>
      <w:r w:rsidR="00ED1E84">
        <w:t>the HSR was</w:t>
      </w:r>
      <w:r w:rsidR="00DD21C3">
        <w:t xml:space="preserve"> </w:t>
      </w:r>
      <w:r w:rsidR="0085772D">
        <w:t>bread</w:t>
      </w:r>
      <w:r w:rsidR="002C60A4">
        <w:t xml:space="preserve"> (25%), followed by </w:t>
      </w:r>
      <w:r w:rsidR="0085772D">
        <w:t xml:space="preserve">cereal </w:t>
      </w:r>
      <w:r w:rsidR="00DD21C3">
        <w:t>(19%).</w:t>
      </w:r>
      <w:r w:rsidR="00ED1E84">
        <w:t xml:space="preserve"> 10% </w:t>
      </w:r>
      <w:r w:rsidR="00DA787F">
        <w:t>remembered a specific brand</w:t>
      </w:r>
      <w:r>
        <w:t xml:space="preserve">ed product. However, when probed, a third of this group cannot remember what product they bought with the HSR. </w:t>
      </w:r>
    </w:p>
    <w:p w:rsidR="00082BEB" w:rsidRPr="0050269F" w:rsidRDefault="00082BEB" w:rsidP="0050269F">
      <w:pPr>
        <w:pStyle w:val="Caption"/>
      </w:pPr>
      <w:r w:rsidRPr="0050269F">
        <w:t xml:space="preserve">Table </w:t>
      </w:r>
      <w:r w:rsidR="003A4F75" w:rsidRPr="0050269F">
        <w:t>2</w:t>
      </w:r>
      <w:r w:rsidRPr="0050269F">
        <w:t xml:space="preserve"> – </w:t>
      </w:r>
      <w:r w:rsidR="00CB5FDD" w:rsidRPr="0050269F">
        <w:t>You mentioned you have bought a product with the Health Star Rating displayed – which product did you buy most recently?</w:t>
      </w:r>
    </w:p>
    <w:tbl>
      <w:tblPr>
        <w:tblW w:w="7386" w:type="dxa"/>
        <w:tblCellMar>
          <w:left w:w="0" w:type="dxa"/>
          <w:right w:w="0" w:type="dxa"/>
        </w:tblCellMar>
        <w:tblLook w:val="0420" w:firstRow="1" w:lastRow="0" w:firstColumn="0" w:lastColumn="0" w:noHBand="0" w:noVBand="1"/>
      </w:tblPr>
      <w:tblGrid>
        <w:gridCol w:w="5100"/>
        <w:gridCol w:w="2286"/>
      </w:tblGrid>
      <w:tr w:rsidR="00082BEB" w:rsidRPr="00DD6DE1" w:rsidTr="00E6724B">
        <w:trPr>
          <w:trHeight w:val="1005"/>
        </w:trPr>
        <w:tc>
          <w:tcPr>
            <w:tcW w:w="5100" w:type="dxa"/>
            <w:tcBorders>
              <w:bottom w:val="single" w:sz="4" w:space="0" w:color="auto"/>
            </w:tcBorders>
            <w:shd w:val="clear" w:color="auto" w:fill="auto"/>
            <w:tcMar>
              <w:top w:w="72" w:type="dxa"/>
              <w:left w:w="15" w:type="dxa"/>
              <w:bottom w:w="72" w:type="dxa"/>
              <w:right w:w="144" w:type="dxa"/>
            </w:tcMar>
            <w:vAlign w:val="center"/>
            <w:hideMark/>
          </w:tcPr>
          <w:p w:rsidR="00082BEB" w:rsidRPr="00EE2A31" w:rsidRDefault="00082BEB" w:rsidP="00DD21C3">
            <w:pPr>
              <w:spacing w:after="0" w:line="240" w:lineRule="auto"/>
              <w:rPr>
                <w:rFonts w:cs="Arial"/>
                <w:color w:val="000000" w:themeColor="text1"/>
                <w:szCs w:val="22"/>
                <w:lang w:eastAsia="en-AU"/>
              </w:rPr>
            </w:pPr>
            <w:r w:rsidRPr="00EE2A31">
              <w:rPr>
                <w:rFonts w:cs="Arial"/>
                <w:color w:val="000000" w:themeColor="text1"/>
                <w:kern w:val="24"/>
                <w:szCs w:val="22"/>
                <w:lang w:eastAsia="en-AU"/>
              </w:rPr>
              <w:t xml:space="preserve">Which product </w:t>
            </w:r>
            <w:r w:rsidRPr="00EE2A31">
              <w:rPr>
                <w:rFonts w:cs="Arial"/>
                <w:color w:val="000000" w:themeColor="text1"/>
                <w:kern w:val="24"/>
                <w:szCs w:val="22"/>
                <w:u w:val="single"/>
                <w:lang w:eastAsia="en-AU"/>
              </w:rPr>
              <w:t>did you buy?</w:t>
            </w:r>
          </w:p>
          <w:p w:rsidR="00082BEB" w:rsidRPr="00EE2A31" w:rsidRDefault="00082BEB" w:rsidP="00DD21C3">
            <w:pPr>
              <w:spacing w:after="0" w:line="240" w:lineRule="auto"/>
              <w:rPr>
                <w:rFonts w:cs="Arial"/>
                <w:color w:val="000000" w:themeColor="text1"/>
                <w:szCs w:val="22"/>
                <w:lang w:eastAsia="en-AU"/>
              </w:rPr>
            </w:pPr>
            <w:r w:rsidRPr="00EE2A31">
              <w:rPr>
                <w:rFonts w:cs="Arial"/>
                <w:color w:val="000000" w:themeColor="text1"/>
                <w:kern w:val="24"/>
                <w:szCs w:val="22"/>
                <w:lang w:eastAsia="en-AU"/>
              </w:rPr>
              <w:t>(Coded response, multiple answers possible)</w:t>
            </w:r>
          </w:p>
        </w:tc>
        <w:tc>
          <w:tcPr>
            <w:tcW w:w="2286" w:type="dxa"/>
            <w:tcBorders>
              <w:bottom w:val="single" w:sz="4" w:space="0" w:color="auto"/>
            </w:tcBorders>
            <w:shd w:val="clear" w:color="auto" w:fill="auto"/>
            <w:tcMar>
              <w:top w:w="72" w:type="dxa"/>
              <w:left w:w="144" w:type="dxa"/>
              <w:bottom w:w="72" w:type="dxa"/>
              <w:right w:w="144" w:type="dxa"/>
            </w:tcMar>
            <w:vAlign w:val="center"/>
            <w:hideMark/>
          </w:tcPr>
          <w:p w:rsidR="00082BEB" w:rsidRPr="00EE2A31" w:rsidRDefault="00082BEB" w:rsidP="00DD21C3">
            <w:pPr>
              <w:spacing w:after="0" w:line="240" w:lineRule="auto"/>
              <w:jc w:val="center"/>
              <w:rPr>
                <w:rFonts w:cs="Arial"/>
                <w:color w:val="000000" w:themeColor="text1"/>
                <w:szCs w:val="22"/>
                <w:lang w:eastAsia="en-AU"/>
              </w:rPr>
            </w:pPr>
            <w:r w:rsidRPr="00EE2A31">
              <w:rPr>
                <w:rFonts w:cs="Arial"/>
                <w:color w:val="000000" w:themeColor="text1"/>
                <w:kern w:val="24"/>
                <w:szCs w:val="22"/>
                <w:lang w:eastAsia="en-AU"/>
              </w:rPr>
              <w:t>Bought product with HSR displayed</w:t>
            </w:r>
          </w:p>
        </w:tc>
      </w:tr>
      <w:tr w:rsidR="00082BEB" w:rsidRPr="00DD6DE1" w:rsidTr="00E6724B">
        <w:trPr>
          <w:trHeight w:val="278"/>
        </w:trPr>
        <w:tc>
          <w:tcPr>
            <w:tcW w:w="5100" w:type="dxa"/>
            <w:tcBorders>
              <w:top w:val="single" w:sz="4" w:space="0" w:color="auto"/>
            </w:tcBorders>
            <w:shd w:val="clear" w:color="auto" w:fill="FFF6D7"/>
            <w:tcMar>
              <w:top w:w="15" w:type="dxa"/>
              <w:left w:w="15" w:type="dxa"/>
              <w:bottom w:w="0" w:type="dxa"/>
              <w:right w:w="15" w:type="dxa"/>
            </w:tcMar>
            <w:vAlign w:val="bottom"/>
            <w:hideMark/>
          </w:tcPr>
          <w:p w:rsidR="00082BEB" w:rsidRPr="00EE2A31" w:rsidRDefault="00082BEB" w:rsidP="00DD21C3">
            <w:pPr>
              <w:spacing w:after="0" w:line="278" w:lineRule="atLeast"/>
              <w:textAlignment w:val="bottom"/>
              <w:rPr>
                <w:rFonts w:cs="Arial"/>
                <w:color w:val="000000" w:themeColor="text1"/>
                <w:szCs w:val="22"/>
                <w:lang w:eastAsia="en-AU"/>
              </w:rPr>
            </w:pPr>
            <w:r w:rsidRPr="00EE2A31">
              <w:rPr>
                <w:rFonts w:cs="Arial"/>
                <w:bCs/>
                <w:color w:val="000000" w:themeColor="text1"/>
                <w:kern w:val="24"/>
                <w:szCs w:val="22"/>
                <w:lang w:eastAsia="en-AU"/>
              </w:rPr>
              <w:t>NET Product mentioned</w:t>
            </w:r>
          </w:p>
        </w:tc>
        <w:tc>
          <w:tcPr>
            <w:tcW w:w="2286" w:type="dxa"/>
            <w:tcBorders>
              <w:top w:val="single" w:sz="4" w:space="0" w:color="auto"/>
            </w:tcBorders>
            <w:shd w:val="clear" w:color="auto" w:fill="FFF6D7"/>
            <w:tcMar>
              <w:top w:w="15" w:type="dxa"/>
              <w:left w:w="15" w:type="dxa"/>
              <w:bottom w:w="0" w:type="dxa"/>
              <w:right w:w="15" w:type="dxa"/>
            </w:tcMar>
            <w:vAlign w:val="bottom"/>
            <w:hideMark/>
          </w:tcPr>
          <w:p w:rsidR="00082BEB" w:rsidRPr="00EE2A31" w:rsidRDefault="00082BEB" w:rsidP="00DD21C3">
            <w:pPr>
              <w:spacing w:after="0" w:line="278" w:lineRule="atLeast"/>
              <w:jc w:val="center"/>
              <w:textAlignment w:val="bottom"/>
              <w:rPr>
                <w:rFonts w:cs="Arial"/>
                <w:color w:val="000000" w:themeColor="text1"/>
                <w:szCs w:val="22"/>
                <w:lang w:eastAsia="en-AU"/>
              </w:rPr>
            </w:pPr>
            <w:r w:rsidRPr="00EE2A31">
              <w:rPr>
                <w:rFonts w:cs="Arial"/>
                <w:bCs/>
                <w:color w:val="000000" w:themeColor="text1"/>
                <w:kern w:val="24"/>
                <w:szCs w:val="22"/>
                <w:lang w:eastAsia="en-AU"/>
              </w:rPr>
              <w:t>63%</w:t>
            </w:r>
          </w:p>
        </w:tc>
      </w:tr>
      <w:tr w:rsidR="00082BEB" w:rsidRPr="00DD6DE1" w:rsidTr="00DD21C3">
        <w:trPr>
          <w:trHeight w:val="278"/>
        </w:trPr>
        <w:tc>
          <w:tcPr>
            <w:tcW w:w="5100" w:type="dxa"/>
            <w:shd w:val="clear" w:color="auto" w:fill="auto"/>
            <w:tcMar>
              <w:top w:w="15" w:type="dxa"/>
              <w:left w:w="15" w:type="dxa"/>
              <w:bottom w:w="0" w:type="dxa"/>
              <w:right w:w="15" w:type="dxa"/>
            </w:tcMar>
            <w:vAlign w:val="bottom"/>
            <w:hideMark/>
          </w:tcPr>
          <w:p w:rsidR="00082BEB" w:rsidRPr="00DD6DE1" w:rsidRDefault="00082BEB" w:rsidP="00DD21C3">
            <w:pPr>
              <w:spacing w:after="0" w:line="278" w:lineRule="atLeast"/>
              <w:textAlignment w:val="bottom"/>
              <w:rPr>
                <w:rFonts w:cs="Arial"/>
                <w:szCs w:val="22"/>
                <w:lang w:eastAsia="en-AU"/>
              </w:rPr>
            </w:pPr>
            <w:r w:rsidRPr="00DD6DE1">
              <w:rPr>
                <w:rFonts w:cs="Arial"/>
                <w:color w:val="000000"/>
                <w:kern w:val="24"/>
                <w:szCs w:val="22"/>
                <w:lang w:eastAsia="en-AU"/>
              </w:rPr>
              <w:t>Bread</w:t>
            </w:r>
          </w:p>
        </w:tc>
        <w:tc>
          <w:tcPr>
            <w:tcW w:w="2286" w:type="dxa"/>
            <w:shd w:val="clear" w:color="auto" w:fill="auto"/>
            <w:tcMar>
              <w:top w:w="15" w:type="dxa"/>
              <w:left w:w="15" w:type="dxa"/>
              <w:bottom w:w="0" w:type="dxa"/>
              <w:right w:w="15" w:type="dxa"/>
            </w:tcMar>
            <w:vAlign w:val="bottom"/>
            <w:hideMark/>
          </w:tcPr>
          <w:p w:rsidR="00082BEB" w:rsidRPr="00DD6DE1" w:rsidRDefault="00082BEB" w:rsidP="00DD21C3">
            <w:pPr>
              <w:spacing w:after="0" w:line="278" w:lineRule="atLeast"/>
              <w:jc w:val="center"/>
              <w:textAlignment w:val="bottom"/>
              <w:rPr>
                <w:rFonts w:cs="Arial"/>
                <w:szCs w:val="22"/>
                <w:lang w:eastAsia="en-AU"/>
              </w:rPr>
            </w:pPr>
            <w:r w:rsidRPr="00DD6DE1">
              <w:rPr>
                <w:rFonts w:cs="Arial"/>
                <w:color w:val="000000"/>
                <w:kern w:val="24"/>
                <w:szCs w:val="22"/>
                <w:lang w:eastAsia="en-AU"/>
              </w:rPr>
              <w:t>25%</w:t>
            </w:r>
          </w:p>
        </w:tc>
      </w:tr>
      <w:tr w:rsidR="00082BEB" w:rsidRPr="00DD6DE1" w:rsidTr="00DD21C3">
        <w:trPr>
          <w:trHeight w:val="278"/>
        </w:trPr>
        <w:tc>
          <w:tcPr>
            <w:tcW w:w="5100" w:type="dxa"/>
            <w:shd w:val="clear" w:color="auto" w:fill="auto"/>
            <w:tcMar>
              <w:top w:w="15" w:type="dxa"/>
              <w:left w:w="15" w:type="dxa"/>
              <w:bottom w:w="0" w:type="dxa"/>
              <w:right w:w="15" w:type="dxa"/>
            </w:tcMar>
            <w:vAlign w:val="bottom"/>
            <w:hideMark/>
          </w:tcPr>
          <w:p w:rsidR="00082BEB" w:rsidRPr="00DD6DE1" w:rsidRDefault="00082BEB" w:rsidP="00DD21C3">
            <w:pPr>
              <w:spacing w:after="0" w:line="278" w:lineRule="atLeast"/>
              <w:textAlignment w:val="bottom"/>
              <w:rPr>
                <w:rFonts w:cs="Arial"/>
                <w:szCs w:val="22"/>
                <w:lang w:eastAsia="en-AU"/>
              </w:rPr>
            </w:pPr>
            <w:r w:rsidRPr="00DD6DE1">
              <w:rPr>
                <w:rFonts w:cs="Arial"/>
                <w:color w:val="000000"/>
                <w:kern w:val="24"/>
                <w:szCs w:val="22"/>
                <w:lang w:eastAsia="en-AU"/>
              </w:rPr>
              <w:t>Cereal</w:t>
            </w:r>
          </w:p>
        </w:tc>
        <w:tc>
          <w:tcPr>
            <w:tcW w:w="2286" w:type="dxa"/>
            <w:shd w:val="clear" w:color="auto" w:fill="auto"/>
            <w:tcMar>
              <w:top w:w="15" w:type="dxa"/>
              <w:left w:w="15" w:type="dxa"/>
              <w:bottom w:w="0" w:type="dxa"/>
              <w:right w:w="15" w:type="dxa"/>
            </w:tcMar>
            <w:vAlign w:val="bottom"/>
            <w:hideMark/>
          </w:tcPr>
          <w:p w:rsidR="00082BEB" w:rsidRPr="00DD6DE1" w:rsidRDefault="00082BEB" w:rsidP="00DD21C3">
            <w:pPr>
              <w:spacing w:after="0" w:line="278" w:lineRule="atLeast"/>
              <w:jc w:val="center"/>
              <w:textAlignment w:val="bottom"/>
              <w:rPr>
                <w:rFonts w:cs="Arial"/>
                <w:szCs w:val="22"/>
                <w:lang w:eastAsia="en-AU"/>
              </w:rPr>
            </w:pPr>
            <w:r w:rsidRPr="00DD6DE1">
              <w:rPr>
                <w:rFonts w:cs="Arial"/>
                <w:color w:val="000000"/>
                <w:kern w:val="24"/>
                <w:szCs w:val="22"/>
                <w:lang w:eastAsia="en-AU"/>
              </w:rPr>
              <w:t>19%</w:t>
            </w:r>
          </w:p>
        </w:tc>
      </w:tr>
      <w:tr w:rsidR="00082BEB" w:rsidRPr="00DD6DE1" w:rsidTr="00DD21C3">
        <w:trPr>
          <w:trHeight w:val="278"/>
        </w:trPr>
        <w:tc>
          <w:tcPr>
            <w:tcW w:w="5100" w:type="dxa"/>
            <w:shd w:val="clear" w:color="auto" w:fill="auto"/>
            <w:tcMar>
              <w:top w:w="15" w:type="dxa"/>
              <w:left w:w="15" w:type="dxa"/>
              <w:bottom w:w="0" w:type="dxa"/>
              <w:right w:w="15" w:type="dxa"/>
            </w:tcMar>
            <w:vAlign w:val="bottom"/>
            <w:hideMark/>
          </w:tcPr>
          <w:p w:rsidR="00082BEB" w:rsidRPr="00DD6DE1" w:rsidRDefault="009D4459" w:rsidP="00DD21C3">
            <w:pPr>
              <w:spacing w:after="0" w:line="278" w:lineRule="atLeast"/>
              <w:textAlignment w:val="bottom"/>
              <w:rPr>
                <w:rFonts w:cs="Arial"/>
                <w:szCs w:val="22"/>
                <w:lang w:eastAsia="en-AU"/>
              </w:rPr>
            </w:pPr>
            <w:r w:rsidRPr="009D4459">
              <w:rPr>
                <w:rFonts w:cs="Arial"/>
                <w:i/>
                <w:color w:val="000000"/>
                <w:kern w:val="24"/>
                <w:szCs w:val="22"/>
                <w:lang w:eastAsia="en-AU"/>
              </w:rPr>
              <w:t>(</w:t>
            </w:r>
            <w:r>
              <w:rPr>
                <w:rFonts w:cs="Arial"/>
                <w:i/>
                <w:color w:val="000000"/>
                <w:kern w:val="24"/>
                <w:szCs w:val="22"/>
                <w:lang w:eastAsia="en-AU"/>
              </w:rPr>
              <w:t>Specific</w:t>
            </w:r>
            <w:r w:rsidRPr="009D4459">
              <w:rPr>
                <w:rFonts w:cs="Arial"/>
                <w:i/>
                <w:color w:val="000000"/>
                <w:kern w:val="24"/>
                <w:szCs w:val="22"/>
                <w:lang w:eastAsia="en-AU"/>
              </w:rPr>
              <w:t xml:space="preserve"> brand of cereal)</w:t>
            </w:r>
          </w:p>
        </w:tc>
        <w:tc>
          <w:tcPr>
            <w:tcW w:w="2286" w:type="dxa"/>
            <w:shd w:val="clear" w:color="auto" w:fill="auto"/>
            <w:tcMar>
              <w:top w:w="15" w:type="dxa"/>
              <w:left w:w="15" w:type="dxa"/>
              <w:bottom w:w="0" w:type="dxa"/>
              <w:right w:w="15" w:type="dxa"/>
            </w:tcMar>
            <w:vAlign w:val="bottom"/>
            <w:hideMark/>
          </w:tcPr>
          <w:p w:rsidR="00082BEB" w:rsidRPr="00DD6DE1" w:rsidRDefault="00082BEB" w:rsidP="00DD21C3">
            <w:pPr>
              <w:spacing w:after="0" w:line="278" w:lineRule="atLeast"/>
              <w:jc w:val="center"/>
              <w:textAlignment w:val="bottom"/>
              <w:rPr>
                <w:rFonts w:cs="Arial"/>
                <w:szCs w:val="22"/>
                <w:lang w:eastAsia="en-AU"/>
              </w:rPr>
            </w:pPr>
            <w:r w:rsidRPr="00DD6DE1">
              <w:rPr>
                <w:rFonts w:cs="Arial"/>
                <w:color w:val="000000"/>
                <w:kern w:val="24"/>
                <w:szCs w:val="22"/>
                <w:lang w:eastAsia="en-AU"/>
              </w:rPr>
              <w:t>4%</w:t>
            </w:r>
          </w:p>
        </w:tc>
      </w:tr>
      <w:tr w:rsidR="00082BEB" w:rsidRPr="00DD6DE1" w:rsidTr="00DD21C3">
        <w:trPr>
          <w:trHeight w:val="278"/>
        </w:trPr>
        <w:tc>
          <w:tcPr>
            <w:tcW w:w="5100" w:type="dxa"/>
            <w:shd w:val="clear" w:color="auto" w:fill="auto"/>
            <w:tcMar>
              <w:top w:w="15" w:type="dxa"/>
              <w:left w:w="15" w:type="dxa"/>
              <w:bottom w:w="0" w:type="dxa"/>
              <w:right w:w="15" w:type="dxa"/>
            </w:tcMar>
            <w:vAlign w:val="bottom"/>
            <w:hideMark/>
          </w:tcPr>
          <w:p w:rsidR="00082BEB" w:rsidRPr="00DD6DE1" w:rsidRDefault="00082BEB" w:rsidP="00DD21C3">
            <w:pPr>
              <w:spacing w:after="0" w:line="278" w:lineRule="atLeast"/>
              <w:textAlignment w:val="bottom"/>
              <w:rPr>
                <w:rFonts w:cs="Arial"/>
                <w:szCs w:val="22"/>
                <w:lang w:eastAsia="en-AU"/>
              </w:rPr>
            </w:pPr>
            <w:r w:rsidRPr="00DD6DE1">
              <w:rPr>
                <w:rFonts w:cs="Arial"/>
                <w:color w:val="000000"/>
                <w:kern w:val="24"/>
                <w:szCs w:val="22"/>
                <w:lang w:eastAsia="en-AU"/>
              </w:rPr>
              <w:t>Spread (Margarine, Peanut Butter, Butter)</w:t>
            </w:r>
          </w:p>
        </w:tc>
        <w:tc>
          <w:tcPr>
            <w:tcW w:w="2286" w:type="dxa"/>
            <w:shd w:val="clear" w:color="auto" w:fill="auto"/>
            <w:tcMar>
              <w:top w:w="15" w:type="dxa"/>
              <w:left w:w="15" w:type="dxa"/>
              <w:bottom w:w="0" w:type="dxa"/>
              <w:right w:w="15" w:type="dxa"/>
            </w:tcMar>
            <w:vAlign w:val="bottom"/>
            <w:hideMark/>
          </w:tcPr>
          <w:p w:rsidR="00082BEB" w:rsidRPr="00DD6DE1" w:rsidRDefault="00082BEB" w:rsidP="00DD21C3">
            <w:pPr>
              <w:spacing w:after="0" w:line="278" w:lineRule="atLeast"/>
              <w:jc w:val="center"/>
              <w:textAlignment w:val="bottom"/>
              <w:rPr>
                <w:rFonts w:cs="Arial"/>
                <w:szCs w:val="22"/>
                <w:lang w:eastAsia="en-AU"/>
              </w:rPr>
            </w:pPr>
            <w:r w:rsidRPr="00DD6DE1">
              <w:rPr>
                <w:rFonts w:cs="Arial"/>
                <w:color w:val="000000"/>
                <w:kern w:val="24"/>
                <w:szCs w:val="22"/>
                <w:lang w:eastAsia="en-AU"/>
              </w:rPr>
              <w:t>3%</w:t>
            </w:r>
          </w:p>
        </w:tc>
      </w:tr>
      <w:tr w:rsidR="00082BEB" w:rsidRPr="00DD6DE1" w:rsidTr="00DD21C3">
        <w:trPr>
          <w:trHeight w:val="278"/>
        </w:trPr>
        <w:tc>
          <w:tcPr>
            <w:tcW w:w="5100" w:type="dxa"/>
            <w:shd w:val="clear" w:color="auto" w:fill="auto"/>
            <w:tcMar>
              <w:top w:w="15" w:type="dxa"/>
              <w:left w:w="15" w:type="dxa"/>
              <w:bottom w:w="0" w:type="dxa"/>
              <w:right w:w="15" w:type="dxa"/>
            </w:tcMar>
            <w:vAlign w:val="bottom"/>
            <w:hideMark/>
          </w:tcPr>
          <w:p w:rsidR="00082BEB" w:rsidRPr="00DD6DE1" w:rsidRDefault="00082BEB" w:rsidP="00DD21C3">
            <w:pPr>
              <w:spacing w:after="0" w:line="278" w:lineRule="atLeast"/>
              <w:textAlignment w:val="bottom"/>
              <w:rPr>
                <w:rFonts w:cs="Arial"/>
                <w:szCs w:val="22"/>
                <w:lang w:eastAsia="en-AU"/>
              </w:rPr>
            </w:pPr>
            <w:r w:rsidRPr="00DD6DE1">
              <w:rPr>
                <w:rFonts w:cs="Arial"/>
                <w:color w:val="000000"/>
                <w:kern w:val="24"/>
                <w:szCs w:val="22"/>
                <w:lang w:eastAsia="en-AU"/>
              </w:rPr>
              <w:t>Muesli bars</w:t>
            </w:r>
          </w:p>
        </w:tc>
        <w:tc>
          <w:tcPr>
            <w:tcW w:w="2286" w:type="dxa"/>
            <w:shd w:val="clear" w:color="auto" w:fill="auto"/>
            <w:tcMar>
              <w:top w:w="15" w:type="dxa"/>
              <w:left w:w="15" w:type="dxa"/>
              <w:bottom w:w="0" w:type="dxa"/>
              <w:right w:w="15" w:type="dxa"/>
            </w:tcMar>
            <w:vAlign w:val="bottom"/>
            <w:hideMark/>
          </w:tcPr>
          <w:p w:rsidR="00082BEB" w:rsidRPr="00DD6DE1" w:rsidRDefault="00082BEB" w:rsidP="00DD21C3">
            <w:pPr>
              <w:spacing w:after="0" w:line="278" w:lineRule="atLeast"/>
              <w:jc w:val="center"/>
              <w:textAlignment w:val="bottom"/>
              <w:rPr>
                <w:rFonts w:cs="Arial"/>
                <w:szCs w:val="22"/>
                <w:lang w:eastAsia="en-AU"/>
              </w:rPr>
            </w:pPr>
            <w:r w:rsidRPr="00DD6DE1">
              <w:rPr>
                <w:rFonts w:cs="Arial"/>
                <w:color w:val="000000"/>
                <w:kern w:val="24"/>
                <w:szCs w:val="22"/>
                <w:lang w:eastAsia="en-AU"/>
              </w:rPr>
              <w:t>2%</w:t>
            </w:r>
          </w:p>
        </w:tc>
      </w:tr>
      <w:tr w:rsidR="00082BEB" w:rsidRPr="00DD6DE1" w:rsidTr="00DD21C3">
        <w:trPr>
          <w:trHeight w:val="278"/>
        </w:trPr>
        <w:tc>
          <w:tcPr>
            <w:tcW w:w="5100" w:type="dxa"/>
            <w:shd w:val="clear" w:color="auto" w:fill="auto"/>
            <w:tcMar>
              <w:top w:w="15" w:type="dxa"/>
              <w:left w:w="15" w:type="dxa"/>
              <w:bottom w:w="0" w:type="dxa"/>
              <w:right w:w="15" w:type="dxa"/>
            </w:tcMar>
            <w:vAlign w:val="bottom"/>
            <w:hideMark/>
          </w:tcPr>
          <w:p w:rsidR="00082BEB" w:rsidRPr="00DD6DE1" w:rsidRDefault="00082BEB" w:rsidP="00DD21C3">
            <w:pPr>
              <w:spacing w:after="0" w:line="278" w:lineRule="atLeast"/>
              <w:textAlignment w:val="bottom"/>
              <w:rPr>
                <w:rFonts w:cs="Arial"/>
                <w:szCs w:val="22"/>
                <w:lang w:eastAsia="en-AU"/>
              </w:rPr>
            </w:pPr>
            <w:r w:rsidRPr="00DD6DE1">
              <w:rPr>
                <w:rFonts w:cs="Arial"/>
                <w:color w:val="000000"/>
                <w:kern w:val="24"/>
                <w:szCs w:val="22"/>
                <w:lang w:eastAsia="en-AU"/>
              </w:rPr>
              <w:t>Oats</w:t>
            </w:r>
          </w:p>
        </w:tc>
        <w:tc>
          <w:tcPr>
            <w:tcW w:w="2286" w:type="dxa"/>
            <w:shd w:val="clear" w:color="auto" w:fill="auto"/>
            <w:tcMar>
              <w:top w:w="15" w:type="dxa"/>
              <w:left w:w="15" w:type="dxa"/>
              <w:bottom w:w="0" w:type="dxa"/>
              <w:right w:w="15" w:type="dxa"/>
            </w:tcMar>
            <w:vAlign w:val="bottom"/>
            <w:hideMark/>
          </w:tcPr>
          <w:p w:rsidR="00082BEB" w:rsidRPr="00DD6DE1" w:rsidRDefault="00082BEB" w:rsidP="00DD21C3">
            <w:pPr>
              <w:spacing w:after="0" w:line="278" w:lineRule="atLeast"/>
              <w:jc w:val="center"/>
              <w:textAlignment w:val="bottom"/>
              <w:rPr>
                <w:rFonts w:cs="Arial"/>
                <w:szCs w:val="22"/>
                <w:lang w:eastAsia="en-AU"/>
              </w:rPr>
            </w:pPr>
            <w:r w:rsidRPr="00DD6DE1">
              <w:rPr>
                <w:rFonts w:cs="Arial"/>
                <w:color w:val="000000"/>
                <w:kern w:val="24"/>
                <w:szCs w:val="22"/>
                <w:lang w:eastAsia="en-AU"/>
              </w:rPr>
              <w:t>1%</w:t>
            </w:r>
          </w:p>
        </w:tc>
      </w:tr>
      <w:tr w:rsidR="00082BEB" w:rsidRPr="00DD6DE1" w:rsidTr="00DD21C3">
        <w:trPr>
          <w:trHeight w:val="278"/>
        </w:trPr>
        <w:tc>
          <w:tcPr>
            <w:tcW w:w="5100" w:type="dxa"/>
            <w:shd w:val="clear" w:color="auto" w:fill="auto"/>
            <w:tcMar>
              <w:top w:w="15" w:type="dxa"/>
              <w:left w:w="15" w:type="dxa"/>
              <w:bottom w:w="0" w:type="dxa"/>
              <w:right w:w="15" w:type="dxa"/>
            </w:tcMar>
            <w:vAlign w:val="bottom"/>
            <w:hideMark/>
          </w:tcPr>
          <w:p w:rsidR="00082BEB" w:rsidRPr="00DD6DE1" w:rsidRDefault="00082BEB" w:rsidP="00DD21C3">
            <w:pPr>
              <w:spacing w:after="0" w:line="278" w:lineRule="atLeast"/>
              <w:textAlignment w:val="bottom"/>
              <w:rPr>
                <w:rFonts w:cs="Arial"/>
                <w:szCs w:val="22"/>
                <w:lang w:eastAsia="en-AU"/>
              </w:rPr>
            </w:pPr>
            <w:r w:rsidRPr="00DD6DE1">
              <w:rPr>
                <w:rFonts w:cs="Arial"/>
                <w:color w:val="000000"/>
                <w:kern w:val="24"/>
                <w:szCs w:val="22"/>
                <w:lang w:eastAsia="en-AU"/>
              </w:rPr>
              <w:t>Mince</w:t>
            </w:r>
          </w:p>
        </w:tc>
        <w:tc>
          <w:tcPr>
            <w:tcW w:w="2286" w:type="dxa"/>
            <w:shd w:val="clear" w:color="auto" w:fill="auto"/>
            <w:tcMar>
              <w:top w:w="15" w:type="dxa"/>
              <w:left w:w="15" w:type="dxa"/>
              <w:bottom w:w="0" w:type="dxa"/>
              <w:right w:w="15" w:type="dxa"/>
            </w:tcMar>
            <w:vAlign w:val="bottom"/>
            <w:hideMark/>
          </w:tcPr>
          <w:p w:rsidR="00082BEB" w:rsidRPr="00DD6DE1" w:rsidRDefault="00082BEB" w:rsidP="00DD21C3">
            <w:pPr>
              <w:spacing w:after="0" w:line="278" w:lineRule="atLeast"/>
              <w:jc w:val="center"/>
              <w:textAlignment w:val="bottom"/>
              <w:rPr>
                <w:rFonts w:cs="Arial"/>
                <w:szCs w:val="22"/>
                <w:lang w:eastAsia="en-AU"/>
              </w:rPr>
            </w:pPr>
            <w:r w:rsidRPr="00DD6DE1">
              <w:rPr>
                <w:rFonts w:cs="Arial"/>
                <w:color w:val="000000"/>
                <w:kern w:val="24"/>
                <w:szCs w:val="22"/>
                <w:lang w:eastAsia="en-AU"/>
              </w:rPr>
              <w:t>1%</w:t>
            </w:r>
          </w:p>
        </w:tc>
      </w:tr>
      <w:tr w:rsidR="00082BEB" w:rsidRPr="00DD6DE1" w:rsidTr="00DD21C3">
        <w:trPr>
          <w:trHeight w:val="278"/>
        </w:trPr>
        <w:tc>
          <w:tcPr>
            <w:tcW w:w="5100" w:type="dxa"/>
            <w:shd w:val="clear" w:color="auto" w:fill="auto"/>
            <w:tcMar>
              <w:top w:w="15" w:type="dxa"/>
              <w:left w:w="15" w:type="dxa"/>
              <w:bottom w:w="0" w:type="dxa"/>
              <w:right w:w="15" w:type="dxa"/>
            </w:tcMar>
            <w:vAlign w:val="bottom"/>
            <w:hideMark/>
          </w:tcPr>
          <w:p w:rsidR="00082BEB" w:rsidRPr="00DD6DE1" w:rsidRDefault="00082BEB" w:rsidP="00DD21C3">
            <w:pPr>
              <w:spacing w:after="0" w:line="278" w:lineRule="atLeast"/>
              <w:textAlignment w:val="bottom"/>
              <w:rPr>
                <w:rFonts w:cs="Arial"/>
                <w:szCs w:val="22"/>
                <w:lang w:eastAsia="en-AU"/>
              </w:rPr>
            </w:pPr>
            <w:r w:rsidRPr="00DD6DE1">
              <w:rPr>
                <w:rFonts w:cs="Arial"/>
                <w:color w:val="000000"/>
                <w:kern w:val="24"/>
                <w:szCs w:val="22"/>
                <w:lang w:eastAsia="en-AU"/>
              </w:rPr>
              <w:t>Muesli</w:t>
            </w:r>
          </w:p>
        </w:tc>
        <w:tc>
          <w:tcPr>
            <w:tcW w:w="2286" w:type="dxa"/>
            <w:shd w:val="clear" w:color="auto" w:fill="auto"/>
            <w:tcMar>
              <w:top w:w="15" w:type="dxa"/>
              <w:left w:w="15" w:type="dxa"/>
              <w:bottom w:w="0" w:type="dxa"/>
              <w:right w:w="15" w:type="dxa"/>
            </w:tcMar>
            <w:vAlign w:val="bottom"/>
            <w:hideMark/>
          </w:tcPr>
          <w:p w:rsidR="00082BEB" w:rsidRPr="00DD6DE1" w:rsidRDefault="00082BEB" w:rsidP="00DD21C3">
            <w:pPr>
              <w:spacing w:after="0" w:line="278" w:lineRule="atLeast"/>
              <w:jc w:val="center"/>
              <w:textAlignment w:val="bottom"/>
              <w:rPr>
                <w:rFonts w:cs="Arial"/>
                <w:szCs w:val="22"/>
                <w:lang w:eastAsia="en-AU"/>
              </w:rPr>
            </w:pPr>
            <w:r w:rsidRPr="00DD6DE1">
              <w:rPr>
                <w:rFonts w:cs="Arial"/>
                <w:color w:val="000000"/>
                <w:kern w:val="24"/>
                <w:szCs w:val="22"/>
                <w:lang w:eastAsia="en-AU"/>
              </w:rPr>
              <w:t>1%</w:t>
            </w:r>
          </w:p>
        </w:tc>
      </w:tr>
      <w:tr w:rsidR="00082BEB" w:rsidRPr="00DD6DE1" w:rsidTr="00DD21C3">
        <w:trPr>
          <w:trHeight w:val="278"/>
        </w:trPr>
        <w:tc>
          <w:tcPr>
            <w:tcW w:w="5100" w:type="dxa"/>
            <w:shd w:val="clear" w:color="auto" w:fill="auto"/>
            <w:tcMar>
              <w:top w:w="15" w:type="dxa"/>
              <w:left w:w="15" w:type="dxa"/>
              <w:bottom w:w="0" w:type="dxa"/>
              <w:right w:w="15" w:type="dxa"/>
            </w:tcMar>
            <w:vAlign w:val="bottom"/>
            <w:hideMark/>
          </w:tcPr>
          <w:p w:rsidR="00082BEB" w:rsidRPr="00DD6DE1" w:rsidRDefault="00082BEB" w:rsidP="00DD21C3">
            <w:pPr>
              <w:spacing w:after="0" w:line="278" w:lineRule="atLeast"/>
              <w:textAlignment w:val="bottom"/>
              <w:rPr>
                <w:rFonts w:cs="Arial"/>
                <w:szCs w:val="22"/>
                <w:lang w:eastAsia="en-AU"/>
              </w:rPr>
            </w:pPr>
            <w:r w:rsidRPr="00DD6DE1">
              <w:rPr>
                <w:rFonts w:cs="Arial"/>
                <w:color w:val="000000"/>
                <w:kern w:val="24"/>
                <w:szCs w:val="22"/>
                <w:lang w:eastAsia="en-AU"/>
              </w:rPr>
              <w:t>Yoghurt</w:t>
            </w:r>
          </w:p>
        </w:tc>
        <w:tc>
          <w:tcPr>
            <w:tcW w:w="2286" w:type="dxa"/>
            <w:shd w:val="clear" w:color="auto" w:fill="auto"/>
            <w:tcMar>
              <w:top w:w="15" w:type="dxa"/>
              <w:left w:w="15" w:type="dxa"/>
              <w:bottom w:w="0" w:type="dxa"/>
              <w:right w:w="15" w:type="dxa"/>
            </w:tcMar>
            <w:vAlign w:val="bottom"/>
            <w:hideMark/>
          </w:tcPr>
          <w:p w:rsidR="00082BEB" w:rsidRPr="00DD6DE1" w:rsidRDefault="00082BEB" w:rsidP="00DD21C3">
            <w:pPr>
              <w:spacing w:after="0" w:line="278" w:lineRule="atLeast"/>
              <w:jc w:val="center"/>
              <w:textAlignment w:val="bottom"/>
              <w:rPr>
                <w:rFonts w:cs="Arial"/>
                <w:szCs w:val="22"/>
                <w:lang w:eastAsia="en-AU"/>
              </w:rPr>
            </w:pPr>
            <w:r w:rsidRPr="00DD6DE1">
              <w:rPr>
                <w:rFonts w:cs="Arial"/>
                <w:color w:val="000000"/>
                <w:kern w:val="24"/>
                <w:szCs w:val="22"/>
                <w:lang w:eastAsia="en-AU"/>
              </w:rPr>
              <w:t>1%</w:t>
            </w:r>
          </w:p>
        </w:tc>
      </w:tr>
      <w:tr w:rsidR="00082BEB" w:rsidRPr="00DD6DE1" w:rsidTr="00DD21C3">
        <w:trPr>
          <w:trHeight w:val="278"/>
        </w:trPr>
        <w:tc>
          <w:tcPr>
            <w:tcW w:w="5100" w:type="dxa"/>
            <w:shd w:val="clear" w:color="auto" w:fill="auto"/>
            <w:tcMar>
              <w:top w:w="15" w:type="dxa"/>
              <w:left w:w="15" w:type="dxa"/>
              <w:bottom w:w="0" w:type="dxa"/>
              <w:right w:w="15" w:type="dxa"/>
            </w:tcMar>
            <w:vAlign w:val="bottom"/>
            <w:hideMark/>
          </w:tcPr>
          <w:p w:rsidR="00082BEB" w:rsidRPr="00DD6DE1" w:rsidRDefault="00082BEB" w:rsidP="00DD21C3">
            <w:pPr>
              <w:spacing w:after="0" w:line="278" w:lineRule="atLeast"/>
              <w:textAlignment w:val="bottom"/>
              <w:rPr>
                <w:rFonts w:cs="Arial"/>
                <w:szCs w:val="22"/>
                <w:lang w:eastAsia="en-AU"/>
              </w:rPr>
            </w:pPr>
            <w:r w:rsidRPr="00DD6DE1">
              <w:rPr>
                <w:rFonts w:cs="Arial"/>
                <w:color w:val="000000"/>
                <w:kern w:val="24"/>
                <w:szCs w:val="22"/>
                <w:lang w:eastAsia="en-AU"/>
              </w:rPr>
              <w:t>Other product</w:t>
            </w:r>
          </w:p>
        </w:tc>
        <w:tc>
          <w:tcPr>
            <w:tcW w:w="2286" w:type="dxa"/>
            <w:shd w:val="clear" w:color="auto" w:fill="auto"/>
            <w:tcMar>
              <w:top w:w="15" w:type="dxa"/>
              <w:left w:w="15" w:type="dxa"/>
              <w:bottom w:w="0" w:type="dxa"/>
              <w:right w:w="15" w:type="dxa"/>
            </w:tcMar>
            <w:vAlign w:val="bottom"/>
            <w:hideMark/>
          </w:tcPr>
          <w:p w:rsidR="00082BEB" w:rsidRPr="00DD6DE1" w:rsidRDefault="00082BEB" w:rsidP="00DD21C3">
            <w:pPr>
              <w:spacing w:after="0" w:line="278" w:lineRule="atLeast"/>
              <w:jc w:val="center"/>
              <w:textAlignment w:val="bottom"/>
              <w:rPr>
                <w:rFonts w:cs="Arial"/>
                <w:szCs w:val="22"/>
                <w:lang w:eastAsia="en-AU"/>
              </w:rPr>
            </w:pPr>
            <w:r w:rsidRPr="00DD6DE1">
              <w:rPr>
                <w:rFonts w:cs="Arial"/>
                <w:color w:val="000000"/>
                <w:kern w:val="24"/>
                <w:szCs w:val="22"/>
                <w:lang w:eastAsia="en-AU"/>
              </w:rPr>
              <w:t>8%</w:t>
            </w:r>
          </w:p>
        </w:tc>
      </w:tr>
      <w:tr w:rsidR="00082BEB" w:rsidRPr="00DD6DE1" w:rsidTr="009A6D30">
        <w:trPr>
          <w:trHeight w:val="366"/>
        </w:trPr>
        <w:tc>
          <w:tcPr>
            <w:tcW w:w="5100" w:type="dxa"/>
            <w:shd w:val="clear" w:color="auto" w:fill="FFF6D7"/>
            <w:tcMar>
              <w:top w:w="15" w:type="dxa"/>
              <w:left w:w="15" w:type="dxa"/>
              <w:bottom w:w="0" w:type="dxa"/>
              <w:right w:w="15" w:type="dxa"/>
            </w:tcMar>
            <w:vAlign w:val="bottom"/>
            <w:hideMark/>
          </w:tcPr>
          <w:p w:rsidR="00082BEB" w:rsidRPr="00EE2A31" w:rsidRDefault="00082BEB" w:rsidP="00DD21C3">
            <w:pPr>
              <w:spacing w:after="0" w:line="240" w:lineRule="auto"/>
              <w:textAlignment w:val="bottom"/>
              <w:rPr>
                <w:rFonts w:cs="Arial"/>
                <w:color w:val="000000" w:themeColor="text1"/>
                <w:szCs w:val="22"/>
                <w:lang w:eastAsia="en-AU"/>
              </w:rPr>
            </w:pPr>
            <w:r w:rsidRPr="00EE2A31">
              <w:rPr>
                <w:rFonts w:cs="Arial"/>
                <w:bCs/>
                <w:color w:val="000000" w:themeColor="text1"/>
                <w:kern w:val="24"/>
                <w:szCs w:val="22"/>
                <w:lang w:eastAsia="en-AU"/>
              </w:rPr>
              <w:t>Can't remember</w:t>
            </w:r>
          </w:p>
        </w:tc>
        <w:tc>
          <w:tcPr>
            <w:tcW w:w="2286" w:type="dxa"/>
            <w:shd w:val="clear" w:color="auto" w:fill="FFF6D7"/>
            <w:tcMar>
              <w:top w:w="15" w:type="dxa"/>
              <w:left w:w="15" w:type="dxa"/>
              <w:bottom w:w="0" w:type="dxa"/>
              <w:right w:w="15" w:type="dxa"/>
            </w:tcMar>
            <w:vAlign w:val="bottom"/>
            <w:hideMark/>
          </w:tcPr>
          <w:p w:rsidR="00082BEB" w:rsidRPr="00EE2A31" w:rsidRDefault="00082BEB" w:rsidP="00DD21C3">
            <w:pPr>
              <w:spacing w:after="0" w:line="240" w:lineRule="auto"/>
              <w:jc w:val="center"/>
              <w:textAlignment w:val="bottom"/>
              <w:rPr>
                <w:rFonts w:cs="Arial"/>
                <w:color w:val="000000" w:themeColor="text1"/>
                <w:szCs w:val="22"/>
                <w:lang w:eastAsia="en-AU"/>
              </w:rPr>
            </w:pPr>
            <w:r w:rsidRPr="00EE2A31">
              <w:rPr>
                <w:rFonts w:cs="Arial"/>
                <w:bCs/>
                <w:color w:val="000000" w:themeColor="text1"/>
                <w:kern w:val="24"/>
                <w:szCs w:val="22"/>
                <w:lang w:eastAsia="en-AU"/>
              </w:rPr>
              <w:t>36%</w:t>
            </w:r>
          </w:p>
        </w:tc>
      </w:tr>
    </w:tbl>
    <w:p w:rsidR="00082BEB" w:rsidRPr="00DB25D1" w:rsidRDefault="00082BEB" w:rsidP="00E5779F">
      <w:pPr>
        <w:spacing w:after="240"/>
        <w:rPr>
          <w:sz w:val="20"/>
          <w:szCs w:val="20"/>
        </w:rPr>
      </w:pPr>
      <w:r w:rsidRPr="00DB25D1">
        <w:rPr>
          <w:sz w:val="20"/>
          <w:szCs w:val="20"/>
        </w:rPr>
        <w:t xml:space="preserve">Base: </w:t>
      </w:r>
      <w:r w:rsidR="00DA787F">
        <w:rPr>
          <w:sz w:val="20"/>
          <w:szCs w:val="20"/>
        </w:rPr>
        <w:t>Those who recalled purchasing a product which displayed HSR</w:t>
      </w:r>
      <w:r w:rsidRPr="00DB25D1">
        <w:rPr>
          <w:sz w:val="20"/>
          <w:szCs w:val="20"/>
        </w:rPr>
        <w:t xml:space="preserve"> (n=</w:t>
      </w:r>
      <w:r w:rsidR="00F9769A">
        <w:rPr>
          <w:sz w:val="20"/>
          <w:szCs w:val="20"/>
        </w:rPr>
        <w:t>419</w:t>
      </w:r>
      <w:r w:rsidRPr="00DB25D1">
        <w:rPr>
          <w:sz w:val="20"/>
          <w:szCs w:val="20"/>
        </w:rPr>
        <w:t>).</w:t>
      </w:r>
    </w:p>
    <w:p w:rsidR="00B73C29" w:rsidRDefault="00173A68" w:rsidP="00B73C29">
      <w:pPr>
        <w:spacing w:after="0"/>
        <w:rPr>
          <w:noProof/>
          <w:lang w:eastAsia="en-AU"/>
        </w:rPr>
      </w:pPr>
      <w:r w:rsidRPr="009454F7">
        <w:rPr>
          <w:noProof/>
          <w:lang w:eastAsia="en-AU"/>
        </w:rPr>
        <w:lastRenderedPageBreak/>
        <w:t>Reflect</w:t>
      </w:r>
      <w:r w:rsidR="00F22948" w:rsidRPr="009454F7">
        <w:rPr>
          <w:noProof/>
          <w:lang w:eastAsia="en-AU"/>
        </w:rPr>
        <w:t>ing</w:t>
      </w:r>
      <w:r w:rsidR="00425469" w:rsidRPr="009454F7">
        <w:rPr>
          <w:noProof/>
          <w:lang w:eastAsia="en-AU"/>
        </w:rPr>
        <w:t xml:space="preserve"> the growing awareness of the HSR, h</w:t>
      </w:r>
      <w:r w:rsidR="00B73C29" w:rsidRPr="009454F7">
        <w:rPr>
          <w:noProof/>
          <w:lang w:eastAsia="en-AU"/>
        </w:rPr>
        <w:t>alf</w:t>
      </w:r>
      <w:r w:rsidR="0068410B" w:rsidRPr="009454F7">
        <w:rPr>
          <w:noProof/>
          <w:lang w:eastAsia="en-AU"/>
        </w:rPr>
        <w:t xml:space="preserve"> (51%)</w:t>
      </w:r>
      <w:r w:rsidR="003746F4">
        <w:rPr>
          <w:rStyle w:val="FootnoteReference"/>
          <w:noProof/>
          <w:lang w:eastAsia="en-AU"/>
        </w:rPr>
        <w:footnoteReference w:id="7"/>
      </w:r>
      <w:r w:rsidR="00B73C29" w:rsidRPr="009454F7">
        <w:rPr>
          <w:noProof/>
          <w:lang w:eastAsia="en-AU"/>
        </w:rPr>
        <w:t xml:space="preserve"> of Australians </w:t>
      </w:r>
      <w:r w:rsidR="009D4459" w:rsidRPr="009454F7">
        <w:rPr>
          <w:noProof/>
          <w:lang w:eastAsia="en-AU"/>
        </w:rPr>
        <w:t>report that</w:t>
      </w:r>
      <w:r w:rsidR="00B73C29" w:rsidRPr="009454F7">
        <w:rPr>
          <w:noProof/>
          <w:lang w:eastAsia="en-AU"/>
        </w:rPr>
        <w:t xml:space="preserve"> </w:t>
      </w:r>
      <w:r w:rsidRPr="009454F7">
        <w:rPr>
          <w:noProof/>
          <w:lang w:eastAsia="en-AU"/>
        </w:rPr>
        <w:t>‘</w:t>
      </w:r>
      <w:r w:rsidR="00B73C29" w:rsidRPr="009454F7">
        <w:rPr>
          <w:noProof/>
          <w:lang w:eastAsia="en-AU"/>
        </w:rPr>
        <w:t>some</w:t>
      </w:r>
      <w:r w:rsidRPr="009454F7">
        <w:rPr>
          <w:noProof/>
          <w:lang w:eastAsia="en-AU"/>
        </w:rPr>
        <w:t>’</w:t>
      </w:r>
      <w:r w:rsidR="00B73C29" w:rsidRPr="009454F7">
        <w:rPr>
          <w:noProof/>
          <w:lang w:eastAsia="en-AU"/>
        </w:rPr>
        <w:t xml:space="preserve"> products </w:t>
      </w:r>
      <w:r w:rsidR="009D4459" w:rsidRPr="009454F7">
        <w:rPr>
          <w:noProof/>
          <w:lang w:eastAsia="en-AU"/>
        </w:rPr>
        <w:t xml:space="preserve">that they regularly buy </w:t>
      </w:r>
      <w:r w:rsidR="00B73C29" w:rsidRPr="009454F7">
        <w:rPr>
          <w:noProof/>
          <w:lang w:eastAsia="en-AU"/>
        </w:rPr>
        <w:t>have the HSR</w:t>
      </w:r>
      <w:r w:rsidR="00A311BB" w:rsidRPr="009454F7">
        <w:rPr>
          <w:noProof/>
          <w:lang w:eastAsia="en-AU"/>
        </w:rPr>
        <w:t xml:space="preserve">, </w:t>
      </w:r>
      <w:r w:rsidR="002C60A4" w:rsidRPr="009454F7">
        <w:rPr>
          <w:noProof/>
          <w:lang w:eastAsia="en-AU"/>
        </w:rPr>
        <w:t xml:space="preserve">and 5% believe </w:t>
      </w:r>
      <w:r w:rsidRPr="009454F7">
        <w:rPr>
          <w:noProof/>
          <w:lang w:eastAsia="en-AU"/>
        </w:rPr>
        <w:t>‘</w:t>
      </w:r>
      <w:r w:rsidR="00A311BB" w:rsidRPr="009454F7">
        <w:rPr>
          <w:noProof/>
          <w:lang w:eastAsia="en-AU"/>
        </w:rPr>
        <w:t>most</w:t>
      </w:r>
      <w:r w:rsidRPr="009454F7">
        <w:rPr>
          <w:noProof/>
          <w:lang w:eastAsia="en-AU"/>
        </w:rPr>
        <w:t>’</w:t>
      </w:r>
      <w:r w:rsidR="00A311BB" w:rsidRPr="009454F7">
        <w:rPr>
          <w:noProof/>
          <w:lang w:eastAsia="en-AU"/>
        </w:rPr>
        <w:t xml:space="preserve"> products </w:t>
      </w:r>
      <w:r w:rsidR="00F864EC" w:rsidRPr="009454F7">
        <w:rPr>
          <w:noProof/>
          <w:lang w:eastAsia="en-AU"/>
        </w:rPr>
        <w:t xml:space="preserve">display </w:t>
      </w:r>
      <w:r w:rsidR="00A311BB" w:rsidRPr="009454F7">
        <w:rPr>
          <w:noProof/>
          <w:lang w:eastAsia="en-AU"/>
        </w:rPr>
        <w:t>the rating.</w:t>
      </w:r>
      <w:r w:rsidR="00A311BB">
        <w:rPr>
          <w:noProof/>
          <w:lang w:eastAsia="en-AU"/>
        </w:rPr>
        <w:t xml:space="preserve"> </w:t>
      </w:r>
    </w:p>
    <w:p w:rsidR="009523A6" w:rsidRDefault="009523A6" w:rsidP="00B73C29">
      <w:pPr>
        <w:spacing w:after="0"/>
        <w:rPr>
          <w:noProof/>
          <w:lang w:eastAsia="en-AU"/>
        </w:rPr>
      </w:pPr>
    </w:p>
    <w:p w:rsidR="00B73C29" w:rsidRPr="00DB25D1" w:rsidRDefault="009D5B09" w:rsidP="00834BBF">
      <w:pPr>
        <w:pStyle w:val="Caption"/>
        <w:rPr>
          <w:noProof/>
          <w:lang w:eastAsia="en-AU"/>
        </w:rPr>
      </w:pPr>
      <w:r>
        <w:rPr>
          <w:noProof/>
          <w:lang w:eastAsia="en-AU"/>
        </w:rPr>
        <w:t>Figure 5</w:t>
      </w:r>
      <w:r w:rsidR="00B73C29" w:rsidRPr="00DB25D1">
        <w:rPr>
          <w:noProof/>
          <w:lang w:eastAsia="en-AU"/>
        </w:rPr>
        <w:t xml:space="preserve"> - How many products that you regularly buy have the Health Star Rating?</w:t>
      </w:r>
    </w:p>
    <w:p w:rsidR="00B73C29" w:rsidRDefault="00B73C29" w:rsidP="00B73C29">
      <w:pPr>
        <w:spacing w:after="0"/>
      </w:pPr>
      <w:r w:rsidRPr="001D09AC">
        <w:rPr>
          <w:noProof/>
          <w:lang w:eastAsia="en-AU"/>
        </w:rPr>
        <w:drawing>
          <wp:inline distT="0" distB="0" distL="0" distR="0" wp14:anchorId="181B9A0E" wp14:editId="75F1D3C3">
            <wp:extent cx="5273749" cy="1679944"/>
            <wp:effectExtent l="0" t="0" r="22225" b="15875"/>
            <wp:docPr id="27" name="Chart 27" descr="Figure 5 is a vertical bar chart which shows how many products respondents regularly buy that display the Health Star Rating. Results are discussed in the preceding paragraph. &#10;Detailed results are as follows: No products, 43%; Some products, 51%; Most products, 5%; and, All products, 1%. &#10;" title="Figure 5 - How many products that you regularly buy have the Health Star Rat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73C29" w:rsidRPr="00DB25D1" w:rsidRDefault="00B73C29" w:rsidP="00B73C29">
      <w:pPr>
        <w:spacing w:after="0"/>
        <w:rPr>
          <w:sz w:val="20"/>
          <w:szCs w:val="20"/>
        </w:rPr>
      </w:pPr>
      <w:r w:rsidRPr="00DB25D1">
        <w:rPr>
          <w:sz w:val="20"/>
          <w:szCs w:val="20"/>
        </w:rPr>
        <w:t>Base: All respondents (n=1000).</w:t>
      </w:r>
    </w:p>
    <w:p w:rsidR="006439CA" w:rsidRPr="006439CA" w:rsidRDefault="006439CA" w:rsidP="00B73C29">
      <w:pPr>
        <w:pStyle w:val="Subtitle"/>
        <w:rPr>
          <w:b w:val="0"/>
          <w:color w:val="auto"/>
        </w:rPr>
      </w:pPr>
    </w:p>
    <w:p w:rsidR="006439CA" w:rsidRDefault="006439CA" w:rsidP="006439CA">
      <w:r w:rsidRPr="006439CA">
        <w:t xml:space="preserve">When </w:t>
      </w:r>
      <w:r w:rsidR="0068410B">
        <w:t xml:space="preserve">asked about how many products they would like to see </w:t>
      </w:r>
      <w:r w:rsidR="001E5498">
        <w:t xml:space="preserve">the </w:t>
      </w:r>
      <w:r w:rsidR="0068410B">
        <w:t>HSR on</w:t>
      </w:r>
      <w:r w:rsidRPr="006439CA">
        <w:t>,</w:t>
      </w:r>
      <w:r w:rsidR="0068410B">
        <w:t xml:space="preserve"> around two thirds (62%) would like the HSR on more products. </w:t>
      </w:r>
      <w:r w:rsidRPr="006439CA">
        <w:t>Australians either wa</w:t>
      </w:r>
      <w:r w:rsidR="00470A9E">
        <w:t>nt to see it</w:t>
      </w:r>
      <w:r w:rsidR="005B5FE0">
        <w:t xml:space="preserve"> on ‘more’ products </w:t>
      </w:r>
      <w:r w:rsidR="0068410B">
        <w:t>(29%) or ‘all’ products</w:t>
      </w:r>
      <w:r w:rsidR="00470A9E">
        <w:t xml:space="preserve"> </w:t>
      </w:r>
      <w:r w:rsidR="0068410B">
        <w:t xml:space="preserve">(33%); </w:t>
      </w:r>
      <w:r w:rsidR="00470A9E">
        <w:t xml:space="preserve">or they </w:t>
      </w:r>
      <w:r w:rsidR="0068410B">
        <w:t>‘</w:t>
      </w:r>
      <w:r w:rsidR="00470A9E">
        <w:t>don’t mind</w:t>
      </w:r>
      <w:r w:rsidR="0068410B">
        <w:t xml:space="preserve"> either way’ (33%)</w:t>
      </w:r>
      <w:r w:rsidR="009523A6">
        <w:t xml:space="preserve">. </w:t>
      </w:r>
      <w:r w:rsidR="0068410B">
        <w:t xml:space="preserve">Importantly, </w:t>
      </w:r>
      <w:r w:rsidR="0068410B" w:rsidRPr="006439CA">
        <w:t>there is very little negativity toward the HSR</w:t>
      </w:r>
      <w:r w:rsidR="009D4459">
        <w:t xml:space="preserve"> in this measure</w:t>
      </w:r>
      <w:r w:rsidR="0068410B">
        <w:t xml:space="preserve">, with just 6% indicating that they would prefer to see HSR on ‘less’ or ‘no’ products. </w:t>
      </w:r>
    </w:p>
    <w:p w:rsidR="002C60A4" w:rsidRPr="006439CA" w:rsidRDefault="002C60A4" w:rsidP="006439CA"/>
    <w:p w:rsidR="00BE74AA" w:rsidRDefault="009E67B3" w:rsidP="00F464A6">
      <w:pPr>
        <w:pStyle w:val="Caption"/>
        <w:rPr>
          <w:noProof/>
          <w:lang w:eastAsia="en-AU"/>
        </w:rPr>
      </w:pPr>
      <w:r w:rsidRPr="00DB25D1">
        <w:t xml:space="preserve">Figure </w:t>
      </w:r>
      <w:r w:rsidR="009D5B09">
        <w:t>6</w:t>
      </w:r>
      <w:r w:rsidRPr="00DB25D1">
        <w:t xml:space="preserve"> – </w:t>
      </w:r>
      <w:r w:rsidR="00BE74AA" w:rsidRPr="00DB25D1">
        <w:t>How many products would you like to see the Health Star Rating on?</w:t>
      </w:r>
      <w:r w:rsidR="00BE74AA" w:rsidRPr="004B57C7">
        <w:rPr>
          <w:noProof/>
          <w:lang w:eastAsia="en-AU"/>
        </w:rPr>
        <w:drawing>
          <wp:inline distT="0" distB="0" distL="0" distR="0" wp14:anchorId="4C31D333" wp14:editId="2E8029A3">
            <wp:extent cx="5273749" cy="1701210"/>
            <wp:effectExtent l="0" t="0" r="22225" b="13335"/>
            <wp:docPr id="7" name="Chart 7" descr="Figure 6 is a horizontal bar chart which shows how many products respondents would like to see the Health Star Rating on. Results are discussed in the preceding paragraph. &#10;Proportions of responses in detail: On no products, 4%; On less products, 2%; Don't mind either way, 32%; On more products, 29%; and, On all products, 33%.&#10;" title="Figure 6 - How many products would you like to see Health Star rating 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BE74AA" w:rsidRPr="004B57C7">
        <w:rPr>
          <w:noProof/>
          <w:lang w:eastAsia="en-AU"/>
        </w:rPr>
        <w:t xml:space="preserve"> </w:t>
      </w:r>
      <w:r w:rsidR="00553D60" w:rsidRPr="00DB25D1">
        <w:rPr>
          <w:noProof/>
          <w:lang w:eastAsia="en-AU"/>
        </w:rPr>
        <w:t>Base: All respondents (n=1000).</w:t>
      </w:r>
    </w:p>
    <w:p w:rsidR="003746F4" w:rsidRDefault="003746F4">
      <w:pPr>
        <w:spacing w:after="0" w:line="240" w:lineRule="auto"/>
        <w:rPr>
          <w:rFonts w:eastAsiaTheme="majorEastAsia" w:cstheme="majorBidi"/>
          <w:iCs/>
          <w:color w:val="000000" w:themeColor="text1"/>
          <w:spacing w:val="15"/>
        </w:rPr>
      </w:pPr>
      <w:r>
        <w:rPr>
          <w:b/>
          <w:color w:val="000000" w:themeColor="text1"/>
        </w:rPr>
        <w:br w:type="page"/>
      </w:r>
    </w:p>
    <w:p w:rsidR="00900864" w:rsidRPr="00E377A8" w:rsidRDefault="00900864" w:rsidP="00900864">
      <w:pPr>
        <w:pStyle w:val="Subtitle"/>
        <w:rPr>
          <w:b w:val="0"/>
          <w:color w:val="000000" w:themeColor="text1"/>
        </w:rPr>
      </w:pPr>
      <w:r w:rsidRPr="00E377A8">
        <w:rPr>
          <w:b w:val="0"/>
          <w:color w:val="000000" w:themeColor="text1"/>
        </w:rPr>
        <w:lastRenderedPageBreak/>
        <w:t>Understanding</w:t>
      </w:r>
    </w:p>
    <w:p w:rsidR="004B1FAB" w:rsidRPr="004B1FAB" w:rsidRDefault="004B1FAB" w:rsidP="004B1FAB">
      <w:pPr>
        <w:pStyle w:val="Caption"/>
      </w:pPr>
      <w:r>
        <w:t xml:space="preserve">Figure </w:t>
      </w:r>
      <w:r w:rsidR="009D5B09">
        <w:t>7</w:t>
      </w:r>
      <w:r>
        <w:t xml:space="preserve"> - Images used in the survey</w:t>
      </w:r>
    </w:p>
    <w:p w:rsidR="006C2B5B" w:rsidRPr="006C2B5B" w:rsidRDefault="003C7D74" w:rsidP="006C2B5B">
      <w:r>
        <w:rPr>
          <w:noProof/>
          <w:lang w:eastAsia="en-AU"/>
        </w:rPr>
        <w:drawing>
          <wp:inline distT="0" distB="0" distL="0" distR="0" wp14:anchorId="76D5FDAA" wp14:editId="0A715195">
            <wp:extent cx="2007219" cy="1499556"/>
            <wp:effectExtent l="0" t="0" r="0" b="5715"/>
            <wp:docPr id="20" name="Picture 20" descr="The first box of cereal is rated 2 health stars, the second box is rated 4 health stars. " title="Image of HSR on two mock boxes of breakfast ce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11993" cy="1503122"/>
                    </a:xfrm>
                    <a:prstGeom prst="rect">
                      <a:avLst/>
                    </a:prstGeom>
                  </pic:spPr>
                </pic:pic>
              </a:graphicData>
            </a:graphic>
          </wp:inline>
        </w:drawing>
      </w:r>
      <w:r>
        <w:tab/>
        <w:t xml:space="preserve"> </w:t>
      </w:r>
      <w:r>
        <w:rPr>
          <w:noProof/>
          <w:lang w:eastAsia="en-AU"/>
        </w:rPr>
        <w:drawing>
          <wp:inline distT="0" distB="0" distL="0" distR="0" wp14:anchorId="3853671E" wp14:editId="72A7C742">
            <wp:extent cx="1494264" cy="1494264"/>
            <wp:effectExtent l="0" t="0" r="0" b="0"/>
            <wp:docPr id="19" name="Picture 19" descr="The first loaf is rated 2 health stars, the second loaf is rated 4 health stars.  " title="Image of Health Star Rating on two mock packets of br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R Breads.PNG"/>
                    <pic:cNvPicPr/>
                  </pic:nvPicPr>
                  <pic:blipFill>
                    <a:blip r:embed="rId21">
                      <a:extLst>
                        <a:ext uri="{28A0092B-C50C-407E-A947-70E740481C1C}">
                          <a14:useLocalDpi xmlns:a14="http://schemas.microsoft.com/office/drawing/2010/main" val="0"/>
                        </a:ext>
                      </a:extLst>
                    </a:blip>
                    <a:stretch>
                      <a:fillRect/>
                    </a:stretch>
                  </pic:blipFill>
                  <pic:spPr>
                    <a:xfrm>
                      <a:off x="0" y="0"/>
                      <a:ext cx="1495541" cy="1495541"/>
                    </a:xfrm>
                    <a:prstGeom prst="rect">
                      <a:avLst/>
                    </a:prstGeom>
                  </pic:spPr>
                </pic:pic>
              </a:graphicData>
            </a:graphic>
          </wp:inline>
        </w:drawing>
      </w:r>
    </w:p>
    <w:p w:rsidR="00B032D6" w:rsidRDefault="00900864" w:rsidP="00B032D6">
      <w:pPr>
        <w:spacing w:before="240" w:after="240"/>
      </w:pPr>
      <w:r w:rsidRPr="00900864">
        <w:t xml:space="preserve">When </w:t>
      </w:r>
      <w:r w:rsidR="006C2B5B">
        <w:t xml:space="preserve">shown images of HSR on mock products </w:t>
      </w:r>
      <w:r w:rsidR="00875201">
        <w:t xml:space="preserve">(Figure 7) </w:t>
      </w:r>
      <w:r w:rsidR="00BE74AA">
        <w:t xml:space="preserve">and </w:t>
      </w:r>
      <w:r w:rsidRPr="00900864">
        <w:t>aske</w:t>
      </w:r>
      <w:r w:rsidR="00AB55B0">
        <w:t>d “how would you use the Health Star Rating</w:t>
      </w:r>
      <w:r w:rsidRPr="00900864">
        <w:t xml:space="preserve">?” </w:t>
      </w:r>
      <w:r w:rsidR="00737C54">
        <w:t xml:space="preserve">over </w:t>
      </w:r>
      <w:r w:rsidRPr="00900864">
        <w:t>half</w:t>
      </w:r>
      <w:r w:rsidR="005000D2">
        <w:t xml:space="preserve"> (</w:t>
      </w:r>
      <w:r w:rsidR="000326F5">
        <w:t>64</w:t>
      </w:r>
      <w:r w:rsidR="005000D2" w:rsidRPr="005B5FE0">
        <w:t>%</w:t>
      </w:r>
      <w:r w:rsidR="005000D2">
        <w:t>)</w:t>
      </w:r>
      <w:r w:rsidRPr="00900864">
        <w:t xml:space="preserve"> of the respondents understand ‘more stars are better’ and that the HSR is a quic</w:t>
      </w:r>
      <w:r w:rsidR="00737C54">
        <w:t xml:space="preserve">k, easy way to compare products, </w:t>
      </w:r>
      <w:r w:rsidR="00B032D6">
        <w:t xml:space="preserve">with correct responses </w:t>
      </w:r>
      <w:r w:rsidR="00737C54">
        <w:t xml:space="preserve">increasing from 49% in April 2015 to 64% in September 2015. </w:t>
      </w:r>
      <w:r w:rsidR="00B032D6">
        <w:t xml:space="preserve">Encouragingly, the proportion of Australians who say that they ‘don’t know’ how they would use the HSR’ has significantly declined since April 2015, from 31% to 22%. </w:t>
      </w:r>
    </w:p>
    <w:p w:rsidR="0088747F" w:rsidRPr="00270839" w:rsidRDefault="006A7359" w:rsidP="0050269F">
      <w:pPr>
        <w:pStyle w:val="Caption"/>
      </w:pPr>
      <w:r w:rsidRPr="00270839">
        <w:t xml:space="preserve">Table </w:t>
      </w:r>
      <w:r w:rsidR="003A4F75" w:rsidRPr="00270839">
        <w:t>3</w:t>
      </w:r>
      <w:r w:rsidRPr="00270839">
        <w:t xml:space="preserve"> – Coded responses to </w:t>
      </w:r>
      <w:r w:rsidR="001E5498">
        <w:t>‘</w:t>
      </w:r>
      <w:r w:rsidRPr="00270839">
        <w:t>How would you use this system?</w:t>
      </w:r>
      <w:r w:rsidR="001E5498">
        <w:t>’</w:t>
      </w:r>
    </w:p>
    <w:tbl>
      <w:tblPr>
        <w:tblW w:w="8237" w:type="dxa"/>
        <w:tblCellMar>
          <w:left w:w="0" w:type="dxa"/>
          <w:right w:w="0" w:type="dxa"/>
        </w:tblCellMar>
        <w:tblLook w:val="0420" w:firstRow="1" w:lastRow="0" w:firstColumn="0" w:lastColumn="0" w:noHBand="0" w:noVBand="1"/>
      </w:tblPr>
      <w:tblGrid>
        <w:gridCol w:w="6394"/>
        <w:gridCol w:w="1843"/>
      </w:tblGrid>
      <w:tr w:rsidR="009A6D30" w:rsidRPr="009A6D30" w:rsidTr="00E6724B">
        <w:trPr>
          <w:trHeight w:val="624"/>
        </w:trPr>
        <w:tc>
          <w:tcPr>
            <w:tcW w:w="6394" w:type="dxa"/>
            <w:tcBorders>
              <w:top w:val="nil"/>
              <w:left w:val="nil"/>
              <w:bottom w:val="single" w:sz="4" w:space="0" w:color="auto"/>
              <w:right w:val="nil"/>
            </w:tcBorders>
            <w:shd w:val="clear" w:color="auto" w:fill="auto"/>
            <w:tcMar>
              <w:top w:w="72" w:type="dxa"/>
              <w:left w:w="15" w:type="dxa"/>
              <w:bottom w:w="72" w:type="dxa"/>
              <w:right w:w="144" w:type="dxa"/>
            </w:tcMar>
            <w:vAlign w:val="center"/>
            <w:hideMark/>
          </w:tcPr>
          <w:p w:rsidR="005725E5" w:rsidRPr="00EE2A31" w:rsidRDefault="00A624EC" w:rsidP="00A624EC">
            <w:pPr>
              <w:spacing w:after="0" w:line="240" w:lineRule="auto"/>
              <w:rPr>
                <w:rFonts w:cs="Arial"/>
                <w:color w:val="000000" w:themeColor="text1"/>
                <w:szCs w:val="22"/>
                <w:lang w:eastAsia="en-AU"/>
              </w:rPr>
            </w:pPr>
            <w:r w:rsidRPr="00EE2A31">
              <w:rPr>
                <w:rFonts w:cs="Arial"/>
                <w:color w:val="000000" w:themeColor="text1"/>
                <w:kern w:val="24"/>
                <w:szCs w:val="22"/>
                <w:lang w:eastAsia="en-AU"/>
              </w:rPr>
              <w:t>Responses</w:t>
            </w:r>
          </w:p>
        </w:tc>
        <w:tc>
          <w:tcPr>
            <w:tcW w:w="1843" w:type="dxa"/>
            <w:tcBorders>
              <w:top w:val="nil"/>
              <w:left w:val="nil"/>
              <w:bottom w:val="single" w:sz="4" w:space="0" w:color="auto"/>
              <w:right w:val="nil"/>
            </w:tcBorders>
            <w:shd w:val="clear" w:color="auto" w:fill="auto"/>
            <w:tcMar>
              <w:top w:w="72" w:type="dxa"/>
              <w:left w:w="144" w:type="dxa"/>
              <w:bottom w:w="72" w:type="dxa"/>
              <w:right w:w="144" w:type="dxa"/>
            </w:tcMar>
            <w:vAlign w:val="center"/>
            <w:hideMark/>
          </w:tcPr>
          <w:p w:rsidR="005725E5" w:rsidRPr="00EE2A31" w:rsidRDefault="00A624EC" w:rsidP="00A624EC">
            <w:pPr>
              <w:spacing w:after="0" w:line="240" w:lineRule="auto"/>
              <w:jc w:val="center"/>
              <w:rPr>
                <w:rFonts w:cs="Arial"/>
                <w:color w:val="000000" w:themeColor="text1"/>
                <w:szCs w:val="22"/>
                <w:lang w:eastAsia="en-AU"/>
              </w:rPr>
            </w:pPr>
            <w:r w:rsidRPr="00EE2A31">
              <w:rPr>
                <w:rFonts w:cs="Arial"/>
                <w:color w:val="000000" w:themeColor="text1"/>
                <w:kern w:val="24"/>
                <w:szCs w:val="22"/>
                <w:lang w:eastAsia="en-AU"/>
              </w:rPr>
              <w:t>Total Sample</w:t>
            </w:r>
          </w:p>
        </w:tc>
      </w:tr>
      <w:tr w:rsidR="00A624EC" w:rsidRPr="00EE2A31" w:rsidTr="00E6724B">
        <w:trPr>
          <w:trHeight w:val="372"/>
        </w:trPr>
        <w:tc>
          <w:tcPr>
            <w:tcW w:w="6394" w:type="dxa"/>
            <w:tcBorders>
              <w:top w:val="single" w:sz="4" w:space="0" w:color="auto"/>
              <w:left w:val="nil"/>
              <w:bottom w:val="nil"/>
              <w:right w:val="nil"/>
            </w:tcBorders>
            <w:shd w:val="clear" w:color="auto" w:fill="FFF6D7"/>
            <w:tcMar>
              <w:top w:w="15" w:type="dxa"/>
              <w:left w:w="15" w:type="dxa"/>
              <w:bottom w:w="0" w:type="dxa"/>
              <w:right w:w="15" w:type="dxa"/>
            </w:tcMar>
            <w:vAlign w:val="center"/>
            <w:hideMark/>
          </w:tcPr>
          <w:p w:rsidR="005725E5" w:rsidRPr="00EE2A31" w:rsidRDefault="00A624EC" w:rsidP="00A624EC">
            <w:pPr>
              <w:spacing w:after="0" w:line="240" w:lineRule="auto"/>
              <w:textAlignment w:val="bottom"/>
              <w:rPr>
                <w:rFonts w:cs="Arial"/>
                <w:bCs/>
                <w:color w:val="000000" w:themeColor="text1"/>
                <w:kern w:val="24"/>
                <w:szCs w:val="22"/>
                <w:lang w:eastAsia="en-AU"/>
              </w:rPr>
            </w:pPr>
            <w:r w:rsidRPr="00EE2A31">
              <w:rPr>
                <w:rFonts w:cs="Arial"/>
                <w:bCs/>
                <w:color w:val="000000" w:themeColor="text1"/>
                <w:kern w:val="24"/>
                <w:szCs w:val="22"/>
                <w:lang w:eastAsia="en-AU"/>
              </w:rPr>
              <w:t>NET accurate understanding of the HSR</w:t>
            </w:r>
          </w:p>
          <w:p w:rsidR="00BD47B3" w:rsidRPr="00EE2A31" w:rsidRDefault="00BD47B3" w:rsidP="00A624EC">
            <w:pPr>
              <w:spacing w:after="0" w:line="240" w:lineRule="auto"/>
              <w:textAlignment w:val="bottom"/>
              <w:rPr>
                <w:rFonts w:cs="Arial"/>
                <w:color w:val="000000" w:themeColor="text1"/>
                <w:szCs w:val="22"/>
                <w:lang w:eastAsia="en-AU"/>
              </w:rPr>
            </w:pPr>
            <w:r w:rsidRPr="00EE2A31">
              <w:rPr>
                <w:rFonts w:cs="Arial"/>
                <w:bCs/>
                <w:color w:val="000000" w:themeColor="text1"/>
                <w:kern w:val="24"/>
                <w:szCs w:val="22"/>
                <w:lang w:eastAsia="en-AU"/>
              </w:rPr>
              <w:t>(bullet points below)</w:t>
            </w:r>
          </w:p>
        </w:tc>
        <w:tc>
          <w:tcPr>
            <w:tcW w:w="1843" w:type="dxa"/>
            <w:tcBorders>
              <w:top w:val="single" w:sz="4" w:space="0" w:color="auto"/>
              <w:left w:val="nil"/>
              <w:bottom w:val="nil"/>
              <w:right w:val="nil"/>
            </w:tcBorders>
            <w:shd w:val="clear" w:color="auto" w:fill="FFF6D7"/>
            <w:tcMar>
              <w:top w:w="15" w:type="dxa"/>
              <w:left w:w="15" w:type="dxa"/>
              <w:bottom w:w="0" w:type="dxa"/>
              <w:right w:w="15" w:type="dxa"/>
            </w:tcMar>
            <w:vAlign w:val="center"/>
            <w:hideMark/>
          </w:tcPr>
          <w:p w:rsidR="00A624EC" w:rsidRPr="00EE2A31" w:rsidRDefault="00A624EC" w:rsidP="00A624EC">
            <w:pPr>
              <w:spacing w:after="0" w:line="240" w:lineRule="auto"/>
              <w:jc w:val="center"/>
              <w:textAlignment w:val="bottom"/>
              <w:rPr>
                <w:rFonts w:cs="Arial"/>
                <w:color w:val="000000" w:themeColor="text1"/>
                <w:szCs w:val="22"/>
                <w:lang w:eastAsia="en-AU"/>
              </w:rPr>
            </w:pPr>
            <w:r w:rsidRPr="00EE2A31">
              <w:rPr>
                <w:rFonts w:cs="Arial"/>
                <w:bCs/>
                <w:color w:val="000000" w:themeColor="text1"/>
                <w:kern w:val="24"/>
                <w:szCs w:val="22"/>
                <w:lang w:eastAsia="en-AU"/>
              </w:rPr>
              <w:t>64%</w:t>
            </w:r>
          </w:p>
          <w:p w:rsidR="005725E5" w:rsidRPr="00EE2A31" w:rsidRDefault="00A624EC" w:rsidP="00A624EC">
            <w:pPr>
              <w:spacing w:after="0" w:line="240" w:lineRule="auto"/>
              <w:jc w:val="center"/>
              <w:textAlignment w:val="bottom"/>
              <w:rPr>
                <w:rFonts w:cs="Arial"/>
                <w:color w:val="000000" w:themeColor="text1"/>
                <w:szCs w:val="22"/>
                <w:lang w:eastAsia="en-AU"/>
              </w:rPr>
            </w:pPr>
            <w:r w:rsidRPr="00EE2A31">
              <w:rPr>
                <w:rFonts w:cs="Arial"/>
                <w:bCs/>
                <w:i/>
                <w:iCs/>
                <w:color w:val="000000" w:themeColor="text1"/>
                <w:kern w:val="24"/>
                <w:szCs w:val="22"/>
                <w:lang w:eastAsia="en-AU"/>
              </w:rPr>
              <w:t>(Apr</w:t>
            </w:r>
            <w:r w:rsidR="00C36AE3">
              <w:rPr>
                <w:rFonts w:cs="Arial"/>
                <w:bCs/>
                <w:i/>
                <w:iCs/>
                <w:color w:val="000000" w:themeColor="text1"/>
                <w:kern w:val="24"/>
                <w:szCs w:val="22"/>
                <w:lang w:eastAsia="en-AU"/>
              </w:rPr>
              <w:t>il</w:t>
            </w:r>
            <w:r w:rsidRPr="00EE2A31">
              <w:rPr>
                <w:rFonts w:cs="Arial"/>
                <w:bCs/>
                <w:i/>
                <w:iCs/>
                <w:color w:val="000000" w:themeColor="text1"/>
                <w:kern w:val="24"/>
                <w:szCs w:val="22"/>
                <w:lang w:eastAsia="en-AU"/>
              </w:rPr>
              <w:t>: 49%)</w:t>
            </w:r>
          </w:p>
        </w:tc>
      </w:tr>
      <w:tr w:rsidR="00A624EC" w:rsidRPr="00A624EC" w:rsidTr="00A624EC">
        <w:trPr>
          <w:trHeight w:val="372"/>
        </w:trPr>
        <w:tc>
          <w:tcPr>
            <w:tcW w:w="6394" w:type="dxa"/>
            <w:tcBorders>
              <w:top w:val="nil"/>
              <w:left w:val="nil"/>
              <w:bottom w:val="nil"/>
              <w:right w:val="nil"/>
            </w:tcBorders>
            <w:shd w:val="clear" w:color="auto" w:fill="auto"/>
            <w:tcMar>
              <w:top w:w="15" w:type="dxa"/>
              <w:left w:w="15" w:type="dxa"/>
              <w:bottom w:w="0" w:type="dxa"/>
              <w:right w:w="15" w:type="dxa"/>
            </w:tcMar>
            <w:vAlign w:val="center"/>
            <w:hideMark/>
          </w:tcPr>
          <w:p w:rsidR="00A624EC" w:rsidRPr="00A624EC" w:rsidRDefault="00A624EC" w:rsidP="00EE2A31">
            <w:pPr>
              <w:numPr>
                <w:ilvl w:val="0"/>
                <w:numId w:val="9"/>
              </w:numPr>
              <w:spacing w:after="0" w:line="240" w:lineRule="auto"/>
              <w:contextualSpacing/>
              <w:textAlignment w:val="bottom"/>
              <w:rPr>
                <w:rFonts w:cs="Arial"/>
                <w:szCs w:val="22"/>
                <w:lang w:eastAsia="en-AU"/>
              </w:rPr>
            </w:pPr>
            <w:r w:rsidRPr="00A624EC">
              <w:rPr>
                <w:rFonts w:cs="Arial"/>
                <w:color w:val="000000"/>
                <w:kern w:val="24"/>
                <w:szCs w:val="22"/>
                <w:lang w:eastAsia="en-AU"/>
              </w:rPr>
              <w:t>The more stars the better/healthier</w:t>
            </w: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rsidR="005725E5" w:rsidRPr="00A624EC" w:rsidRDefault="00A624EC" w:rsidP="00A624EC">
            <w:pPr>
              <w:spacing w:after="0" w:line="240" w:lineRule="auto"/>
              <w:jc w:val="center"/>
              <w:textAlignment w:val="bottom"/>
              <w:rPr>
                <w:rFonts w:cs="Arial"/>
                <w:szCs w:val="22"/>
                <w:lang w:eastAsia="en-AU"/>
              </w:rPr>
            </w:pPr>
            <w:r w:rsidRPr="00A624EC">
              <w:rPr>
                <w:rFonts w:cs="Arial"/>
                <w:color w:val="000000"/>
                <w:kern w:val="24"/>
                <w:szCs w:val="22"/>
                <w:lang w:eastAsia="en-AU"/>
              </w:rPr>
              <w:t>29%</w:t>
            </w:r>
          </w:p>
        </w:tc>
      </w:tr>
      <w:tr w:rsidR="00A624EC" w:rsidRPr="00A624EC" w:rsidTr="00A624EC">
        <w:trPr>
          <w:trHeight w:val="372"/>
        </w:trPr>
        <w:tc>
          <w:tcPr>
            <w:tcW w:w="6394" w:type="dxa"/>
            <w:tcBorders>
              <w:top w:val="nil"/>
              <w:left w:val="nil"/>
              <w:bottom w:val="nil"/>
              <w:right w:val="nil"/>
            </w:tcBorders>
            <w:shd w:val="clear" w:color="auto" w:fill="auto"/>
            <w:tcMar>
              <w:top w:w="15" w:type="dxa"/>
              <w:left w:w="15" w:type="dxa"/>
              <w:bottom w:w="0" w:type="dxa"/>
              <w:right w:w="15" w:type="dxa"/>
            </w:tcMar>
            <w:vAlign w:val="center"/>
            <w:hideMark/>
          </w:tcPr>
          <w:p w:rsidR="00A624EC" w:rsidRPr="00A624EC" w:rsidRDefault="00A624EC" w:rsidP="00EE2A31">
            <w:pPr>
              <w:numPr>
                <w:ilvl w:val="0"/>
                <w:numId w:val="9"/>
              </w:numPr>
              <w:spacing w:after="0" w:line="240" w:lineRule="auto"/>
              <w:contextualSpacing/>
              <w:textAlignment w:val="bottom"/>
              <w:rPr>
                <w:rFonts w:cs="Arial"/>
                <w:szCs w:val="22"/>
                <w:lang w:eastAsia="en-AU"/>
              </w:rPr>
            </w:pPr>
            <w:r w:rsidRPr="00A624EC">
              <w:rPr>
                <w:rFonts w:cs="Arial"/>
                <w:color w:val="000000"/>
                <w:kern w:val="24"/>
                <w:szCs w:val="22"/>
                <w:lang w:eastAsia="en-AU"/>
              </w:rPr>
              <w:t>Buy/choose products with more/the most stars</w:t>
            </w: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rsidR="005725E5" w:rsidRPr="00A624EC" w:rsidRDefault="00A624EC" w:rsidP="00A624EC">
            <w:pPr>
              <w:spacing w:after="0" w:line="240" w:lineRule="auto"/>
              <w:jc w:val="center"/>
              <w:textAlignment w:val="bottom"/>
              <w:rPr>
                <w:rFonts w:cs="Arial"/>
                <w:szCs w:val="22"/>
                <w:lang w:eastAsia="en-AU"/>
              </w:rPr>
            </w:pPr>
            <w:r w:rsidRPr="00A624EC">
              <w:rPr>
                <w:rFonts w:cs="Arial"/>
                <w:color w:val="000000"/>
                <w:kern w:val="24"/>
                <w:szCs w:val="22"/>
                <w:lang w:eastAsia="en-AU"/>
              </w:rPr>
              <w:t>11%</w:t>
            </w:r>
          </w:p>
        </w:tc>
      </w:tr>
      <w:tr w:rsidR="00A624EC" w:rsidRPr="00A624EC" w:rsidTr="00A624EC">
        <w:trPr>
          <w:trHeight w:val="372"/>
        </w:trPr>
        <w:tc>
          <w:tcPr>
            <w:tcW w:w="6394" w:type="dxa"/>
            <w:tcBorders>
              <w:top w:val="nil"/>
              <w:left w:val="nil"/>
              <w:bottom w:val="nil"/>
              <w:right w:val="nil"/>
            </w:tcBorders>
            <w:shd w:val="clear" w:color="auto" w:fill="auto"/>
            <w:tcMar>
              <w:top w:w="15" w:type="dxa"/>
              <w:left w:w="15" w:type="dxa"/>
              <w:bottom w:w="0" w:type="dxa"/>
              <w:right w:w="15" w:type="dxa"/>
            </w:tcMar>
            <w:vAlign w:val="center"/>
            <w:hideMark/>
          </w:tcPr>
          <w:p w:rsidR="00A624EC" w:rsidRPr="00A624EC" w:rsidRDefault="00A624EC" w:rsidP="00EE2A31">
            <w:pPr>
              <w:numPr>
                <w:ilvl w:val="0"/>
                <w:numId w:val="9"/>
              </w:numPr>
              <w:spacing w:after="0" w:line="240" w:lineRule="auto"/>
              <w:contextualSpacing/>
              <w:textAlignment w:val="bottom"/>
              <w:rPr>
                <w:rFonts w:cs="Arial"/>
                <w:szCs w:val="22"/>
                <w:lang w:eastAsia="en-AU"/>
              </w:rPr>
            </w:pPr>
            <w:r w:rsidRPr="00A624EC">
              <w:rPr>
                <w:rFonts w:cs="Arial"/>
                <w:color w:val="000000"/>
                <w:kern w:val="24"/>
                <w:szCs w:val="22"/>
                <w:lang w:eastAsia="en-AU"/>
              </w:rPr>
              <w:t>To know what is healthier/better for me</w:t>
            </w: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rsidR="005725E5" w:rsidRPr="00A624EC" w:rsidRDefault="00A624EC" w:rsidP="00A624EC">
            <w:pPr>
              <w:spacing w:after="0" w:line="240" w:lineRule="auto"/>
              <w:jc w:val="center"/>
              <w:textAlignment w:val="bottom"/>
              <w:rPr>
                <w:rFonts w:cs="Arial"/>
                <w:szCs w:val="22"/>
                <w:lang w:eastAsia="en-AU"/>
              </w:rPr>
            </w:pPr>
            <w:r w:rsidRPr="00A624EC">
              <w:rPr>
                <w:rFonts w:cs="Arial"/>
                <w:color w:val="000000"/>
                <w:kern w:val="24"/>
                <w:szCs w:val="22"/>
                <w:lang w:eastAsia="en-AU"/>
              </w:rPr>
              <w:t>8%</w:t>
            </w:r>
          </w:p>
        </w:tc>
      </w:tr>
      <w:tr w:rsidR="00A624EC" w:rsidRPr="00A624EC" w:rsidTr="00A624EC">
        <w:trPr>
          <w:trHeight w:val="372"/>
        </w:trPr>
        <w:tc>
          <w:tcPr>
            <w:tcW w:w="6394" w:type="dxa"/>
            <w:tcBorders>
              <w:top w:val="nil"/>
              <w:left w:val="nil"/>
              <w:bottom w:val="nil"/>
              <w:right w:val="nil"/>
            </w:tcBorders>
            <w:shd w:val="clear" w:color="auto" w:fill="auto"/>
            <w:tcMar>
              <w:top w:w="15" w:type="dxa"/>
              <w:left w:w="15" w:type="dxa"/>
              <w:bottom w:w="0" w:type="dxa"/>
              <w:right w:w="15" w:type="dxa"/>
            </w:tcMar>
            <w:vAlign w:val="center"/>
            <w:hideMark/>
          </w:tcPr>
          <w:p w:rsidR="00A624EC" w:rsidRPr="00A624EC" w:rsidRDefault="00A624EC" w:rsidP="00EE2A31">
            <w:pPr>
              <w:numPr>
                <w:ilvl w:val="0"/>
                <w:numId w:val="9"/>
              </w:numPr>
              <w:spacing w:after="0" w:line="240" w:lineRule="auto"/>
              <w:contextualSpacing/>
              <w:textAlignment w:val="bottom"/>
              <w:rPr>
                <w:rFonts w:cs="Arial"/>
                <w:szCs w:val="22"/>
                <w:lang w:eastAsia="en-AU"/>
              </w:rPr>
            </w:pPr>
            <w:r w:rsidRPr="00A624EC">
              <w:rPr>
                <w:rFonts w:cs="Arial"/>
                <w:color w:val="000000"/>
                <w:kern w:val="24"/>
                <w:szCs w:val="22"/>
                <w:lang w:eastAsia="en-AU"/>
              </w:rPr>
              <w:t>Four stars would be the healthiest/my choice</w:t>
            </w: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rsidR="005725E5" w:rsidRPr="00A624EC" w:rsidRDefault="00A624EC" w:rsidP="00A624EC">
            <w:pPr>
              <w:spacing w:after="0" w:line="240" w:lineRule="auto"/>
              <w:jc w:val="center"/>
              <w:textAlignment w:val="bottom"/>
              <w:rPr>
                <w:rFonts w:cs="Arial"/>
                <w:szCs w:val="22"/>
                <w:lang w:eastAsia="en-AU"/>
              </w:rPr>
            </w:pPr>
            <w:r w:rsidRPr="00A624EC">
              <w:rPr>
                <w:rFonts w:cs="Arial"/>
                <w:color w:val="000000"/>
                <w:kern w:val="24"/>
                <w:szCs w:val="22"/>
                <w:lang w:eastAsia="en-AU"/>
              </w:rPr>
              <w:t>6%</w:t>
            </w:r>
          </w:p>
        </w:tc>
      </w:tr>
      <w:tr w:rsidR="00A624EC" w:rsidRPr="00A624EC" w:rsidTr="00A624EC">
        <w:trPr>
          <w:trHeight w:val="415"/>
        </w:trPr>
        <w:tc>
          <w:tcPr>
            <w:tcW w:w="6394" w:type="dxa"/>
            <w:tcBorders>
              <w:top w:val="nil"/>
              <w:left w:val="nil"/>
              <w:bottom w:val="nil"/>
              <w:right w:val="nil"/>
            </w:tcBorders>
            <w:shd w:val="clear" w:color="auto" w:fill="auto"/>
            <w:tcMar>
              <w:top w:w="15" w:type="dxa"/>
              <w:left w:w="15" w:type="dxa"/>
              <w:bottom w:w="0" w:type="dxa"/>
              <w:right w:w="15" w:type="dxa"/>
            </w:tcMar>
            <w:vAlign w:val="center"/>
            <w:hideMark/>
          </w:tcPr>
          <w:p w:rsidR="00A624EC" w:rsidRPr="00A624EC" w:rsidRDefault="00A624EC" w:rsidP="00EE2A31">
            <w:pPr>
              <w:numPr>
                <w:ilvl w:val="0"/>
                <w:numId w:val="9"/>
              </w:numPr>
              <w:spacing w:after="0" w:line="240" w:lineRule="auto"/>
              <w:contextualSpacing/>
              <w:textAlignment w:val="bottom"/>
              <w:rPr>
                <w:rFonts w:cs="Arial"/>
                <w:szCs w:val="22"/>
                <w:lang w:eastAsia="en-AU"/>
              </w:rPr>
            </w:pPr>
            <w:r w:rsidRPr="00A624EC">
              <w:rPr>
                <w:rFonts w:cs="Arial"/>
                <w:color w:val="000000"/>
                <w:kern w:val="24"/>
                <w:szCs w:val="22"/>
                <w:lang w:eastAsia="en-AU"/>
              </w:rPr>
              <w:t>To choose between similar products</w:t>
            </w: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rsidR="005725E5" w:rsidRPr="00A624EC" w:rsidRDefault="00A624EC" w:rsidP="00A624EC">
            <w:pPr>
              <w:spacing w:after="0" w:line="240" w:lineRule="auto"/>
              <w:jc w:val="center"/>
              <w:textAlignment w:val="bottom"/>
              <w:rPr>
                <w:rFonts w:cs="Arial"/>
                <w:szCs w:val="22"/>
                <w:lang w:eastAsia="en-AU"/>
              </w:rPr>
            </w:pPr>
            <w:r w:rsidRPr="00A624EC">
              <w:rPr>
                <w:rFonts w:cs="Arial"/>
                <w:color w:val="000000"/>
                <w:kern w:val="24"/>
                <w:szCs w:val="22"/>
                <w:lang w:eastAsia="en-AU"/>
              </w:rPr>
              <w:t>4%</w:t>
            </w:r>
          </w:p>
        </w:tc>
      </w:tr>
      <w:tr w:rsidR="00A624EC" w:rsidRPr="00A624EC" w:rsidTr="00A624EC">
        <w:trPr>
          <w:trHeight w:val="372"/>
        </w:trPr>
        <w:tc>
          <w:tcPr>
            <w:tcW w:w="6394" w:type="dxa"/>
            <w:tcBorders>
              <w:top w:val="nil"/>
              <w:left w:val="nil"/>
              <w:bottom w:val="nil"/>
              <w:right w:val="nil"/>
            </w:tcBorders>
            <w:shd w:val="clear" w:color="auto" w:fill="auto"/>
            <w:tcMar>
              <w:top w:w="15" w:type="dxa"/>
              <w:left w:w="15" w:type="dxa"/>
              <w:bottom w:w="0" w:type="dxa"/>
              <w:right w:w="15" w:type="dxa"/>
            </w:tcMar>
            <w:vAlign w:val="center"/>
            <w:hideMark/>
          </w:tcPr>
          <w:p w:rsidR="00A624EC" w:rsidRPr="00A624EC" w:rsidRDefault="00A624EC" w:rsidP="00EE2A31">
            <w:pPr>
              <w:numPr>
                <w:ilvl w:val="0"/>
                <w:numId w:val="9"/>
              </w:numPr>
              <w:spacing w:after="0" w:line="240" w:lineRule="auto"/>
              <w:contextualSpacing/>
              <w:textAlignment w:val="bottom"/>
              <w:rPr>
                <w:rFonts w:cs="Arial"/>
                <w:szCs w:val="22"/>
                <w:lang w:eastAsia="en-AU"/>
              </w:rPr>
            </w:pPr>
            <w:r w:rsidRPr="00A624EC">
              <w:rPr>
                <w:rFonts w:cs="Arial"/>
                <w:color w:val="000000"/>
                <w:kern w:val="24"/>
                <w:szCs w:val="22"/>
                <w:lang w:eastAsia="en-AU"/>
              </w:rPr>
              <w:t>Comparing the number of stars</w:t>
            </w: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rsidR="005725E5" w:rsidRPr="00A624EC" w:rsidRDefault="00A624EC" w:rsidP="00A624EC">
            <w:pPr>
              <w:spacing w:after="0" w:line="240" w:lineRule="auto"/>
              <w:jc w:val="center"/>
              <w:textAlignment w:val="bottom"/>
              <w:rPr>
                <w:rFonts w:cs="Arial"/>
                <w:szCs w:val="22"/>
                <w:lang w:eastAsia="en-AU"/>
              </w:rPr>
            </w:pPr>
            <w:r w:rsidRPr="00A624EC">
              <w:rPr>
                <w:rFonts w:cs="Arial"/>
                <w:color w:val="000000"/>
                <w:kern w:val="24"/>
                <w:szCs w:val="22"/>
                <w:lang w:eastAsia="en-AU"/>
              </w:rPr>
              <w:t>4%</w:t>
            </w:r>
          </w:p>
        </w:tc>
      </w:tr>
      <w:tr w:rsidR="00A624EC" w:rsidRPr="00A624EC" w:rsidTr="00A624EC">
        <w:trPr>
          <w:trHeight w:val="372"/>
        </w:trPr>
        <w:tc>
          <w:tcPr>
            <w:tcW w:w="6394" w:type="dxa"/>
            <w:tcBorders>
              <w:top w:val="nil"/>
              <w:left w:val="nil"/>
              <w:bottom w:val="nil"/>
              <w:right w:val="nil"/>
            </w:tcBorders>
            <w:shd w:val="clear" w:color="auto" w:fill="auto"/>
            <w:tcMar>
              <w:top w:w="15" w:type="dxa"/>
              <w:left w:w="15" w:type="dxa"/>
              <w:bottom w:w="0" w:type="dxa"/>
              <w:right w:w="15" w:type="dxa"/>
            </w:tcMar>
            <w:vAlign w:val="center"/>
            <w:hideMark/>
          </w:tcPr>
          <w:p w:rsidR="00A624EC" w:rsidRPr="00A624EC" w:rsidRDefault="00A624EC" w:rsidP="00EE2A31">
            <w:pPr>
              <w:numPr>
                <w:ilvl w:val="0"/>
                <w:numId w:val="9"/>
              </w:numPr>
              <w:spacing w:after="0" w:line="240" w:lineRule="auto"/>
              <w:contextualSpacing/>
              <w:textAlignment w:val="bottom"/>
              <w:rPr>
                <w:rFonts w:cs="Arial"/>
                <w:szCs w:val="22"/>
                <w:lang w:eastAsia="en-AU"/>
              </w:rPr>
            </w:pPr>
            <w:r w:rsidRPr="00A624EC">
              <w:rPr>
                <w:rFonts w:cs="Arial"/>
                <w:color w:val="000000"/>
                <w:kern w:val="24"/>
                <w:szCs w:val="22"/>
                <w:lang w:eastAsia="en-AU"/>
              </w:rPr>
              <w:t>I'd use it for quick reference</w:t>
            </w: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rsidR="005725E5" w:rsidRPr="00A624EC" w:rsidRDefault="00A624EC" w:rsidP="00A624EC">
            <w:pPr>
              <w:spacing w:after="0" w:line="240" w:lineRule="auto"/>
              <w:jc w:val="center"/>
              <w:textAlignment w:val="bottom"/>
              <w:rPr>
                <w:rFonts w:cs="Arial"/>
                <w:szCs w:val="22"/>
                <w:lang w:eastAsia="en-AU"/>
              </w:rPr>
            </w:pPr>
            <w:r w:rsidRPr="00A624EC">
              <w:rPr>
                <w:rFonts w:cs="Arial"/>
                <w:color w:val="000000"/>
                <w:kern w:val="24"/>
                <w:szCs w:val="22"/>
                <w:lang w:eastAsia="en-AU"/>
              </w:rPr>
              <w:t>3%</w:t>
            </w:r>
          </w:p>
        </w:tc>
      </w:tr>
      <w:tr w:rsidR="00A624EC" w:rsidRPr="00A624EC" w:rsidTr="00A624EC">
        <w:trPr>
          <w:trHeight w:val="372"/>
        </w:trPr>
        <w:tc>
          <w:tcPr>
            <w:tcW w:w="6394" w:type="dxa"/>
            <w:tcBorders>
              <w:top w:val="nil"/>
              <w:left w:val="nil"/>
              <w:bottom w:val="nil"/>
              <w:right w:val="nil"/>
            </w:tcBorders>
            <w:shd w:val="clear" w:color="auto" w:fill="auto"/>
            <w:tcMar>
              <w:top w:w="15" w:type="dxa"/>
              <w:left w:w="15" w:type="dxa"/>
              <w:bottom w:w="0" w:type="dxa"/>
              <w:right w:w="15" w:type="dxa"/>
            </w:tcMar>
            <w:vAlign w:val="center"/>
            <w:hideMark/>
          </w:tcPr>
          <w:p w:rsidR="00A624EC" w:rsidRPr="00A624EC" w:rsidRDefault="00A624EC" w:rsidP="00EE2A31">
            <w:pPr>
              <w:numPr>
                <w:ilvl w:val="0"/>
                <w:numId w:val="9"/>
              </w:numPr>
              <w:spacing w:after="0" w:line="240" w:lineRule="auto"/>
              <w:contextualSpacing/>
              <w:textAlignment w:val="bottom"/>
              <w:rPr>
                <w:rFonts w:cs="Arial"/>
                <w:szCs w:val="22"/>
                <w:lang w:eastAsia="en-AU"/>
              </w:rPr>
            </w:pPr>
            <w:r w:rsidRPr="00A624EC">
              <w:rPr>
                <w:rFonts w:cs="Arial"/>
                <w:color w:val="000000"/>
                <w:kern w:val="24"/>
                <w:szCs w:val="22"/>
                <w:lang w:eastAsia="en-AU"/>
              </w:rPr>
              <w:t xml:space="preserve">To help make choices </w:t>
            </w:r>
            <w:r w:rsidR="005D750F">
              <w:rPr>
                <w:rFonts w:cs="Arial"/>
                <w:color w:val="000000"/>
                <w:kern w:val="24"/>
                <w:szCs w:val="22"/>
                <w:lang w:eastAsia="en-AU"/>
              </w:rPr>
              <w:t>about</w:t>
            </w:r>
            <w:r w:rsidR="005D750F" w:rsidRPr="00A624EC">
              <w:rPr>
                <w:rFonts w:cs="Arial"/>
                <w:color w:val="000000"/>
                <w:kern w:val="24"/>
                <w:szCs w:val="22"/>
                <w:lang w:eastAsia="en-AU"/>
              </w:rPr>
              <w:t xml:space="preserve"> </w:t>
            </w:r>
            <w:r w:rsidRPr="00A624EC">
              <w:rPr>
                <w:rFonts w:cs="Arial"/>
                <w:color w:val="000000"/>
                <w:kern w:val="24"/>
                <w:szCs w:val="22"/>
                <w:lang w:eastAsia="en-AU"/>
              </w:rPr>
              <w:t>which product to buy</w:t>
            </w: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rsidR="005725E5" w:rsidRPr="00A624EC" w:rsidRDefault="00A624EC" w:rsidP="00A624EC">
            <w:pPr>
              <w:spacing w:after="0" w:line="240" w:lineRule="auto"/>
              <w:jc w:val="center"/>
              <w:textAlignment w:val="bottom"/>
              <w:rPr>
                <w:rFonts w:cs="Arial"/>
                <w:szCs w:val="22"/>
                <w:lang w:eastAsia="en-AU"/>
              </w:rPr>
            </w:pPr>
            <w:r w:rsidRPr="00A624EC">
              <w:rPr>
                <w:rFonts w:cs="Arial"/>
                <w:color w:val="000000"/>
                <w:kern w:val="24"/>
                <w:szCs w:val="22"/>
                <w:lang w:eastAsia="en-AU"/>
              </w:rPr>
              <w:t>2%</w:t>
            </w:r>
          </w:p>
        </w:tc>
      </w:tr>
      <w:tr w:rsidR="00A624EC" w:rsidRPr="00A624EC" w:rsidTr="00A624EC">
        <w:trPr>
          <w:trHeight w:val="512"/>
        </w:trPr>
        <w:tc>
          <w:tcPr>
            <w:tcW w:w="6394" w:type="dxa"/>
            <w:tcBorders>
              <w:top w:val="nil"/>
              <w:left w:val="nil"/>
              <w:bottom w:val="nil"/>
              <w:right w:val="nil"/>
            </w:tcBorders>
            <w:shd w:val="clear" w:color="auto" w:fill="auto"/>
            <w:tcMar>
              <w:top w:w="15" w:type="dxa"/>
              <w:left w:w="15" w:type="dxa"/>
              <w:bottom w:w="0" w:type="dxa"/>
              <w:right w:w="15" w:type="dxa"/>
            </w:tcMar>
            <w:vAlign w:val="center"/>
            <w:hideMark/>
          </w:tcPr>
          <w:p w:rsidR="00A624EC" w:rsidRPr="00A624EC" w:rsidRDefault="00A624EC" w:rsidP="00EE2A31">
            <w:pPr>
              <w:numPr>
                <w:ilvl w:val="0"/>
                <w:numId w:val="9"/>
              </w:numPr>
              <w:spacing w:after="0" w:line="240" w:lineRule="auto"/>
              <w:contextualSpacing/>
              <w:textAlignment w:val="bottom"/>
              <w:rPr>
                <w:rFonts w:cs="Arial"/>
                <w:szCs w:val="22"/>
                <w:lang w:eastAsia="en-AU"/>
              </w:rPr>
            </w:pPr>
            <w:r w:rsidRPr="00A624EC">
              <w:rPr>
                <w:rFonts w:cs="Arial"/>
                <w:color w:val="000000"/>
                <w:kern w:val="24"/>
                <w:szCs w:val="22"/>
                <w:lang w:eastAsia="en-AU"/>
              </w:rPr>
              <w:t>I would compare the number of stars, but also consider price before purchasing</w:t>
            </w: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rsidR="005725E5" w:rsidRPr="00A624EC" w:rsidRDefault="00A624EC" w:rsidP="00A624EC">
            <w:pPr>
              <w:spacing w:after="0" w:line="240" w:lineRule="auto"/>
              <w:jc w:val="center"/>
              <w:textAlignment w:val="bottom"/>
              <w:rPr>
                <w:rFonts w:cs="Arial"/>
                <w:szCs w:val="22"/>
                <w:lang w:eastAsia="en-AU"/>
              </w:rPr>
            </w:pPr>
            <w:r w:rsidRPr="00A624EC">
              <w:rPr>
                <w:rFonts w:cs="Arial"/>
                <w:color w:val="000000"/>
                <w:kern w:val="24"/>
                <w:szCs w:val="22"/>
                <w:lang w:eastAsia="en-AU"/>
              </w:rPr>
              <w:t>2%</w:t>
            </w:r>
          </w:p>
        </w:tc>
      </w:tr>
      <w:tr w:rsidR="00A624EC" w:rsidRPr="00A624EC" w:rsidTr="00A624EC">
        <w:trPr>
          <w:trHeight w:val="474"/>
        </w:trPr>
        <w:tc>
          <w:tcPr>
            <w:tcW w:w="6394" w:type="dxa"/>
            <w:tcBorders>
              <w:top w:val="nil"/>
              <w:left w:val="nil"/>
              <w:bottom w:val="nil"/>
              <w:right w:val="nil"/>
            </w:tcBorders>
            <w:shd w:val="clear" w:color="auto" w:fill="auto"/>
            <w:tcMar>
              <w:top w:w="15" w:type="dxa"/>
              <w:left w:w="15" w:type="dxa"/>
              <w:bottom w:w="0" w:type="dxa"/>
              <w:right w:w="15" w:type="dxa"/>
            </w:tcMar>
            <w:vAlign w:val="center"/>
            <w:hideMark/>
          </w:tcPr>
          <w:p w:rsidR="00A624EC" w:rsidRPr="00A624EC" w:rsidRDefault="00A624EC" w:rsidP="00EE2A31">
            <w:pPr>
              <w:numPr>
                <w:ilvl w:val="0"/>
                <w:numId w:val="9"/>
              </w:numPr>
              <w:spacing w:after="0" w:line="240" w:lineRule="auto"/>
              <w:contextualSpacing/>
              <w:textAlignment w:val="bottom"/>
              <w:rPr>
                <w:rFonts w:cs="Arial"/>
                <w:szCs w:val="22"/>
                <w:lang w:eastAsia="en-AU"/>
              </w:rPr>
            </w:pPr>
            <w:r w:rsidRPr="00A624EC">
              <w:rPr>
                <w:rFonts w:cs="Arial"/>
                <w:color w:val="000000"/>
                <w:kern w:val="24"/>
                <w:szCs w:val="22"/>
                <w:lang w:eastAsia="en-AU"/>
              </w:rPr>
              <w:t>As a general guide</w:t>
            </w: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rsidR="005725E5" w:rsidRPr="00A624EC" w:rsidRDefault="00A624EC" w:rsidP="00A624EC">
            <w:pPr>
              <w:spacing w:after="0" w:line="240" w:lineRule="auto"/>
              <w:jc w:val="center"/>
              <w:textAlignment w:val="bottom"/>
              <w:rPr>
                <w:rFonts w:cs="Arial"/>
                <w:szCs w:val="22"/>
                <w:lang w:eastAsia="en-AU"/>
              </w:rPr>
            </w:pPr>
            <w:r w:rsidRPr="00A624EC">
              <w:rPr>
                <w:rFonts w:cs="Arial"/>
                <w:color w:val="000000"/>
                <w:kern w:val="24"/>
                <w:szCs w:val="22"/>
                <w:lang w:eastAsia="en-AU"/>
              </w:rPr>
              <w:t>1%</w:t>
            </w:r>
          </w:p>
        </w:tc>
      </w:tr>
      <w:tr w:rsidR="00A624EC" w:rsidRPr="00A624EC" w:rsidTr="009A6D30">
        <w:trPr>
          <w:trHeight w:val="512"/>
        </w:trPr>
        <w:tc>
          <w:tcPr>
            <w:tcW w:w="6394" w:type="dxa"/>
            <w:tcBorders>
              <w:top w:val="nil"/>
              <w:left w:val="nil"/>
              <w:bottom w:val="single" w:sz="8" w:space="0" w:color="FFFFFF"/>
              <w:right w:val="nil"/>
            </w:tcBorders>
            <w:shd w:val="clear" w:color="auto" w:fill="FFF6D7"/>
            <w:tcMar>
              <w:top w:w="15" w:type="dxa"/>
              <w:left w:w="15" w:type="dxa"/>
              <w:bottom w:w="0" w:type="dxa"/>
              <w:right w:w="15" w:type="dxa"/>
            </w:tcMar>
            <w:vAlign w:val="center"/>
            <w:hideMark/>
          </w:tcPr>
          <w:p w:rsidR="00A624EC" w:rsidRPr="00EE2A31" w:rsidRDefault="00A624EC" w:rsidP="00BD47B3">
            <w:pPr>
              <w:spacing w:after="0" w:line="240" w:lineRule="auto"/>
              <w:ind w:left="360"/>
              <w:contextualSpacing/>
              <w:textAlignment w:val="bottom"/>
              <w:rPr>
                <w:rFonts w:cs="Arial"/>
                <w:color w:val="000000" w:themeColor="text1"/>
                <w:szCs w:val="22"/>
                <w:lang w:eastAsia="en-AU"/>
              </w:rPr>
            </w:pPr>
            <w:r w:rsidRPr="00EE2A31">
              <w:rPr>
                <w:rFonts w:cs="Arial"/>
                <w:bCs/>
                <w:color w:val="000000" w:themeColor="text1"/>
                <w:kern w:val="24"/>
                <w:szCs w:val="22"/>
                <w:lang w:eastAsia="en-AU"/>
              </w:rPr>
              <w:t>I would have to consider other information + I would have to know more about the system</w:t>
            </w:r>
          </w:p>
        </w:tc>
        <w:tc>
          <w:tcPr>
            <w:tcW w:w="1843" w:type="dxa"/>
            <w:tcBorders>
              <w:top w:val="nil"/>
              <w:left w:val="nil"/>
              <w:bottom w:val="single" w:sz="8" w:space="0" w:color="FFFFFF"/>
              <w:right w:val="nil"/>
            </w:tcBorders>
            <w:shd w:val="clear" w:color="auto" w:fill="FFF6D7"/>
            <w:tcMar>
              <w:top w:w="15" w:type="dxa"/>
              <w:left w:w="15" w:type="dxa"/>
              <w:bottom w:w="0" w:type="dxa"/>
              <w:right w:w="15" w:type="dxa"/>
            </w:tcMar>
            <w:vAlign w:val="center"/>
            <w:hideMark/>
          </w:tcPr>
          <w:p w:rsidR="005725E5" w:rsidRPr="00EE2A31" w:rsidRDefault="00A624EC" w:rsidP="00A624EC">
            <w:pPr>
              <w:spacing w:after="0" w:line="240" w:lineRule="auto"/>
              <w:jc w:val="center"/>
              <w:textAlignment w:val="bottom"/>
              <w:rPr>
                <w:rFonts w:cs="Arial"/>
                <w:color w:val="000000" w:themeColor="text1"/>
                <w:szCs w:val="22"/>
                <w:lang w:eastAsia="en-AU"/>
              </w:rPr>
            </w:pPr>
            <w:r w:rsidRPr="00EE2A31">
              <w:rPr>
                <w:rFonts w:cs="Arial"/>
                <w:bCs/>
                <w:color w:val="000000" w:themeColor="text1"/>
                <w:kern w:val="24"/>
                <w:szCs w:val="22"/>
                <w:lang w:eastAsia="en-AU"/>
              </w:rPr>
              <w:t>5%</w:t>
            </w:r>
          </w:p>
        </w:tc>
      </w:tr>
      <w:tr w:rsidR="00A624EC" w:rsidRPr="00A624EC" w:rsidTr="009A6D30">
        <w:trPr>
          <w:trHeight w:val="344"/>
        </w:trPr>
        <w:tc>
          <w:tcPr>
            <w:tcW w:w="6394" w:type="dxa"/>
            <w:tcBorders>
              <w:top w:val="single" w:sz="8" w:space="0" w:color="FFFFFF"/>
              <w:left w:val="nil"/>
              <w:bottom w:val="single" w:sz="8" w:space="0" w:color="FFFFFF"/>
              <w:right w:val="nil"/>
            </w:tcBorders>
            <w:shd w:val="clear" w:color="auto" w:fill="FFF6D7"/>
            <w:tcMar>
              <w:top w:w="15" w:type="dxa"/>
              <w:left w:w="15" w:type="dxa"/>
              <w:bottom w:w="0" w:type="dxa"/>
              <w:right w:w="15" w:type="dxa"/>
            </w:tcMar>
            <w:vAlign w:val="center"/>
            <w:hideMark/>
          </w:tcPr>
          <w:p w:rsidR="00A624EC" w:rsidRPr="00EE2A31" w:rsidRDefault="00A624EC" w:rsidP="00BD47B3">
            <w:pPr>
              <w:spacing w:after="0" w:line="344" w:lineRule="atLeast"/>
              <w:ind w:left="360"/>
              <w:contextualSpacing/>
              <w:textAlignment w:val="bottom"/>
              <w:rPr>
                <w:rFonts w:cs="Arial"/>
                <w:color w:val="000000" w:themeColor="text1"/>
                <w:szCs w:val="22"/>
                <w:lang w:eastAsia="en-AU"/>
              </w:rPr>
            </w:pPr>
            <w:r w:rsidRPr="00EE2A31">
              <w:rPr>
                <w:rFonts w:cs="Arial"/>
                <w:bCs/>
                <w:color w:val="000000" w:themeColor="text1"/>
                <w:kern w:val="24"/>
                <w:szCs w:val="22"/>
                <w:lang w:eastAsia="en-AU"/>
              </w:rPr>
              <w:t>I wouldn't use it/ rely on it/ would use with scepticism</w:t>
            </w:r>
          </w:p>
        </w:tc>
        <w:tc>
          <w:tcPr>
            <w:tcW w:w="1843" w:type="dxa"/>
            <w:tcBorders>
              <w:top w:val="single" w:sz="8" w:space="0" w:color="FFFFFF"/>
              <w:left w:val="nil"/>
              <w:bottom w:val="single" w:sz="8" w:space="0" w:color="FFFFFF"/>
              <w:right w:val="nil"/>
            </w:tcBorders>
            <w:shd w:val="clear" w:color="auto" w:fill="FFF6D7"/>
            <w:tcMar>
              <w:top w:w="15" w:type="dxa"/>
              <w:left w:w="15" w:type="dxa"/>
              <w:bottom w:w="0" w:type="dxa"/>
              <w:right w:w="15" w:type="dxa"/>
            </w:tcMar>
            <w:vAlign w:val="center"/>
            <w:hideMark/>
          </w:tcPr>
          <w:p w:rsidR="005725E5" w:rsidRPr="00EE2A31" w:rsidRDefault="00A624EC" w:rsidP="00A624EC">
            <w:pPr>
              <w:spacing w:after="0" w:line="344" w:lineRule="atLeast"/>
              <w:jc w:val="center"/>
              <w:textAlignment w:val="bottom"/>
              <w:rPr>
                <w:rFonts w:cs="Arial"/>
                <w:color w:val="000000" w:themeColor="text1"/>
                <w:szCs w:val="22"/>
                <w:lang w:eastAsia="en-AU"/>
              </w:rPr>
            </w:pPr>
            <w:r w:rsidRPr="00EE2A31">
              <w:rPr>
                <w:rFonts w:cs="Arial"/>
                <w:bCs/>
                <w:color w:val="000000" w:themeColor="text1"/>
                <w:kern w:val="24"/>
                <w:szCs w:val="22"/>
                <w:lang w:eastAsia="en-AU"/>
              </w:rPr>
              <w:t>5%</w:t>
            </w:r>
          </w:p>
        </w:tc>
      </w:tr>
      <w:tr w:rsidR="00A624EC" w:rsidRPr="00A624EC" w:rsidTr="009A6D30">
        <w:trPr>
          <w:trHeight w:val="474"/>
        </w:trPr>
        <w:tc>
          <w:tcPr>
            <w:tcW w:w="6394" w:type="dxa"/>
            <w:tcBorders>
              <w:top w:val="single" w:sz="8" w:space="0" w:color="FFFFFF"/>
              <w:left w:val="nil"/>
              <w:bottom w:val="nil"/>
              <w:right w:val="nil"/>
            </w:tcBorders>
            <w:shd w:val="clear" w:color="auto" w:fill="FFF6D7"/>
            <w:tcMar>
              <w:top w:w="15" w:type="dxa"/>
              <w:left w:w="15" w:type="dxa"/>
              <w:bottom w:w="0" w:type="dxa"/>
              <w:right w:w="15" w:type="dxa"/>
            </w:tcMar>
            <w:vAlign w:val="center"/>
            <w:hideMark/>
          </w:tcPr>
          <w:p w:rsidR="00A624EC" w:rsidRPr="00EE2A31" w:rsidRDefault="00A624EC" w:rsidP="00BD47B3">
            <w:pPr>
              <w:spacing w:after="0" w:line="240" w:lineRule="auto"/>
              <w:ind w:left="360"/>
              <w:contextualSpacing/>
              <w:textAlignment w:val="bottom"/>
              <w:rPr>
                <w:rFonts w:cs="Arial"/>
                <w:color w:val="000000" w:themeColor="text1"/>
                <w:szCs w:val="22"/>
                <w:lang w:eastAsia="en-AU"/>
              </w:rPr>
            </w:pPr>
            <w:r w:rsidRPr="00EE2A31">
              <w:rPr>
                <w:rFonts w:cs="Arial"/>
                <w:bCs/>
                <w:color w:val="000000" w:themeColor="text1"/>
                <w:kern w:val="24"/>
                <w:szCs w:val="22"/>
                <w:lang w:eastAsia="en-AU"/>
              </w:rPr>
              <w:t>Don't Know</w:t>
            </w:r>
          </w:p>
        </w:tc>
        <w:tc>
          <w:tcPr>
            <w:tcW w:w="1843" w:type="dxa"/>
            <w:tcBorders>
              <w:top w:val="single" w:sz="8" w:space="0" w:color="FFFFFF"/>
              <w:left w:val="nil"/>
              <w:bottom w:val="nil"/>
              <w:right w:val="nil"/>
            </w:tcBorders>
            <w:shd w:val="clear" w:color="auto" w:fill="FFF6D7"/>
            <w:tcMar>
              <w:top w:w="15" w:type="dxa"/>
              <w:left w:w="15" w:type="dxa"/>
              <w:bottom w:w="0" w:type="dxa"/>
              <w:right w:w="15" w:type="dxa"/>
            </w:tcMar>
            <w:vAlign w:val="center"/>
            <w:hideMark/>
          </w:tcPr>
          <w:p w:rsidR="005725E5" w:rsidRPr="00EE2A31" w:rsidRDefault="00A624EC" w:rsidP="00A624EC">
            <w:pPr>
              <w:spacing w:after="0" w:line="240" w:lineRule="auto"/>
              <w:jc w:val="center"/>
              <w:textAlignment w:val="bottom"/>
              <w:rPr>
                <w:rFonts w:cs="Arial"/>
                <w:color w:val="000000" w:themeColor="text1"/>
                <w:szCs w:val="22"/>
                <w:lang w:eastAsia="en-AU"/>
              </w:rPr>
            </w:pPr>
            <w:r w:rsidRPr="00EE2A31">
              <w:rPr>
                <w:rFonts w:cs="Arial"/>
                <w:bCs/>
                <w:color w:val="000000" w:themeColor="text1"/>
                <w:kern w:val="24"/>
                <w:szCs w:val="22"/>
                <w:lang w:eastAsia="en-AU"/>
              </w:rPr>
              <w:t>22%</w:t>
            </w:r>
          </w:p>
        </w:tc>
      </w:tr>
      <w:tr w:rsidR="00A624EC" w:rsidRPr="00A624EC" w:rsidTr="00A624EC">
        <w:trPr>
          <w:trHeight w:val="372"/>
        </w:trPr>
        <w:tc>
          <w:tcPr>
            <w:tcW w:w="6394" w:type="dxa"/>
            <w:tcBorders>
              <w:top w:val="nil"/>
              <w:left w:val="nil"/>
              <w:bottom w:val="nil"/>
              <w:right w:val="nil"/>
            </w:tcBorders>
            <w:shd w:val="clear" w:color="auto" w:fill="auto"/>
            <w:tcMar>
              <w:top w:w="15" w:type="dxa"/>
              <w:left w:w="15" w:type="dxa"/>
              <w:bottom w:w="0" w:type="dxa"/>
              <w:right w:w="15" w:type="dxa"/>
            </w:tcMar>
            <w:vAlign w:val="center"/>
            <w:hideMark/>
          </w:tcPr>
          <w:p w:rsidR="00A624EC" w:rsidRPr="00A624EC" w:rsidRDefault="00A624EC" w:rsidP="00BD47B3">
            <w:pPr>
              <w:spacing w:after="0" w:line="240" w:lineRule="auto"/>
              <w:ind w:left="360"/>
              <w:contextualSpacing/>
              <w:textAlignment w:val="bottom"/>
              <w:rPr>
                <w:rFonts w:cs="Arial"/>
                <w:szCs w:val="22"/>
                <w:lang w:eastAsia="en-AU"/>
              </w:rPr>
            </w:pPr>
            <w:r w:rsidRPr="00A624EC">
              <w:rPr>
                <w:rFonts w:cs="Arial"/>
                <w:color w:val="000000"/>
                <w:kern w:val="24"/>
                <w:szCs w:val="22"/>
                <w:lang w:eastAsia="en-AU"/>
              </w:rPr>
              <w:t>Other</w:t>
            </w: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rsidR="005725E5" w:rsidRPr="00A624EC" w:rsidRDefault="00A624EC" w:rsidP="00A624EC">
            <w:pPr>
              <w:spacing w:after="0" w:line="240" w:lineRule="auto"/>
              <w:jc w:val="center"/>
              <w:textAlignment w:val="bottom"/>
              <w:rPr>
                <w:rFonts w:cs="Arial"/>
                <w:szCs w:val="22"/>
                <w:lang w:eastAsia="en-AU"/>
              </w:rPr>
            </w:pPr>
            <w:r w:rsidRPr="00A624EC">
              <w:rPr>
                <w:rFonts w:cs="Arial"/>
                <w:color w:val="000000"/>
                <w:kern w:val="24"/>
                <w:szCs w:val="22"/>
                <w:lang w:eastAsia="en-AU"/>
              </w:rPr>
              <w:t>7%</w:t>
            </w:r>
          </w:p>
        </w:tc>
      </w:tr>
    </w:tbl>
    <w:p w:rsidR="006A7359" w:rsidRDefault="00A624EC" w:rsidP="006A7359">
      <w:pPr>
        <w:spacing w:after="360"/>
        <w:rPr>
          <w:bCs/>
          <w:color w:val="404040" w:themeColor="text1" w:themeTint="BF"/>
          <w:sz w:val="20"/>
          <w:szCs w:val="20"/>
        </w:rPr>
      </w:pPr>
      <w:r w:rsidRPr="00DB25D1">
        <w:rPr>
          <w:bCs/>
          <w:color w:val="404040" w:themeColor="text1" w:themeTint="BF"/>
          <w:sz w:val="20"/>
          <w:szCs w:val="20"/>
        </w:rPr>
        <w:t>Base: All respondents (n=1000</w:t>
      </w:r>
      <w:r w:rsidR="006A7359" w:rsidRPr="00DB25D1">
        <w:rPr>
          <w:bCs/>
          <w:color w:val="404040" w:themeColor="text1" w:themeTint="BF"/>
          <w:sz w:val="20"/>
          <w:szCs w:val="20"/>
        </w:rPr>
        <w:t>)</w:t>
      </w:r>
      <w:r w:rsidR="00A56503" w:rsidRPr="00DB25D1">
        <w:rPr>
          <w:bCs/>
          <w:color w:val="404040" w:themeColor="text1" w:themeTint="BF"/>
          <w:sz w:val="20"/>
          <w:szCs w:val="20"/>
        </w:rPr>
        <w:t xml:space="preserve">. </w:t>
      </w:r>
    </w:p>
    <w:p w:rsidR="009523A6" w:rsidRPr="002C60A4" w:rsidRDefault="005D750F" w:rsidP="006A7359">
      <w:pPr>
        <w:spacing w:after="360"/>
        <w:rPr>
          <w:bCs/>
          <w:szCs w:val="22"/>
        </w:rPr>
      </w:pPr>
      <w:r>
        <w:rPr>
          <w:bCs/>
          <w:szCs w:val="22"/>
        </w:rPr>
        <w:lastRenderedPageBreak/>
        <w:t>Verbatim comments about</w:t>
      </w:r>
      <w:r w:rsidR="009523A6" w:rsidRPr="002C60A4">
        <w:rPr>
          <w:bCs/>
          <w:szCs w:val="22"/>
        </w:rPr>
        <w:t xml:space="preserve"> how people would use the HSR </w:t>
      </w:r>
      <w:r>
        <w:rPr>
          <w:bCs/>
          <w:szCs w:val="22"/>
        </w:rPr>
        <w:t>included</w:t>
      </w:r>
      <w:r w:rsidR="009523A6" w:rsidRPr="002C60A4">
        <w:rPr>
          <w:bCs/>
          <w:szCs w:val="22"/>
        </w:rPr>
        <w:t>:</w:t>
      </w:r>
    </w:p>
    <w:p w:rsidR="00D353B3" w:rsidRPr="00B173A2" w:rsidRDefault="00A624EC" w:rsidP="00B173A2">
      <w:pPr>
        <w:pStyle w:val="Quote"/>
        <w:ind w:left="567"/>
      </w:pPr>
      <w:proofErr w:type="gramStart"/>
      <w:r w:rsidRPr="00B173A2">
        <w:t>As a quick glance option, looking more at the number than the stars</w:t>
      </w:r>
      <w:r w:rsidR="00B173A2">
        <w:t>.</w:t>
      </w:r>
      <w:proofErr w:type="gramEnd"/>
    </w:p>
    <w:p w:rsidR="00D353B3" w:rsidRPr="00B173A2" w:rsidRDefault="00A624EC" w:rsidP="00B173A2">
      <w:pPr>
        <w:pStyle w:val="Quote"/>
        <w:ind w:left="567"/>
      </w:pPr>
      <w:r w:rsidRPr="00B173A2">
        <w:t xml:space="preserve">By checking products against one another to see </w:t>
      </w:r>
      <w:proofErr w:type="gramStart"/>
      <w:r w:rsidRPr="00B173A2">
        <w:t>which has a better rating</w:t>
      </w:r>
      <w:r w:rsidR="00B173A2">
        <w:t>.</w:t>
      </w:r>
      <w:proofErr w:type="gramEnd"/>
    </w:p>
    <w:p w:rsidR="00D353B3" w:rsidRPr="00B173A2" w:rsidRDefault="00A624EC" w:rsidP="00B173A2">
      <w:pPr>
        <w:pStyle w:val="Quote"/>
        <w:ind w:left="567"/>
      </w:pPr>
      <w:r w:rsidRPr="00B173A2">
        <w:t>Compare products and investigate nutritional content i.e. sugars to see why they are different</w:t>
      </w:r>
      <w:r w:rsidR="00B173A2">
        <w:t>.</w:t>
      </w:r>
    </w:p>
    <w:p w:rsidR="00A37646" w:rsidRPr="00EE2A31" w:rsidRDefault="00A37646" w:rsidP="00EE2A31">
      <w:pPr>
        <w:pStyle w:val="Heading2"/>
        <w:rPr>
          <w:rStyle w:val="IntenseReference"/>
          <w:b w:val="0"/>
          <w:bCs/>
          <w:i w:val="0"/>
          <w:smallCaps w:val="0"/>
          <w:color w:val="000000" w:themeColor="text1"/>
          <w:spacing w:val="0"/>
        </w:rPr>
      </w:pPr>
      <w:bookmarkStart w:id="19" w:name="_Toc435088765"/>
      <w:r w:rsidRPr="00EE2A31">
        <w:rPr>
          <w:rStyle w:val="IntenseReference"/>
          <w:b w:val="0"/>
          <w:bCs/>
          <w:i w:val="0"/>
          <w:smallCaps w:val="0"/>
          <w:color w:val="000000" w:themeColor="text1"/>
          <w:spacing w:val="0"/>
        </w:rPr>
        <w:t>Section summary</w:t>
      </w:r>
      <w:bookmarkEnd w:id="19"/>
    </w:p>
    <w:p w:rsidR="00EE2A31" w:rsidRPr="00EE2A31" w:rsidRDefault="00953FF6" w:rsidP="00EE2A31">
      <w:pPr>
        <w:pStyle w:val="ListParagraph"/>
        <w:numPr>
          <w:ilvl w:val="0"/>
          <w:numId w:val="10"/>
        </w:numPr>
        <w:spacing w:before="240" w:after="240"/>
        <w:rPr>
          <w:rStyle w:val="IntenseReference"/>
          <w:b w:val="0"/>
          <w:bCs w:val="0"/>
          <w:i w:val="0"/>
          <w:smallCaps w:val="0"/>
          <w:color w:val="auto"/>
          <w:spacing w:val="0"/>
        </w:rPr>
      </w:pPr>
      <w:r w:rsidRPr="000326F5">
        <w:rPr>
          <w:rStyle w:val="IntenseReference"/>
          <w:b w:val="0"/>
          <w:bCs w:val="0"/>
          <w:i w:val="0"/>
          <w:smallCaps w:val="0"/>
          <w:color w:val="auto"/>
          <w:spacing w:val="0"/>
        </w:rPr>
        <w:t>Awareness of the HSR has significantly increased. Almost half o</w:t>
      </w:r>
      <w:r w:rsidR="00A37646" w:rsidRPr="00015D0E">
        <w:rPr>
          <w:rStyle w:val="IntenseReference"/>
          <w:b w:val="0"/>
          <w:bCs w:val="0"/>
          <w:i w:val="0"/>
          <w:smallCaps w:val="0"/>
          <w:color w:val="auto"/>
          <w:spacing w:val="0"/>
        </w:rPr>
        <w:t>f Australians</w:t>
      </w:r>
      <w:r w:rsidR="00AB0405">
        <w:rPr>
          <w:rStyle w:val="IntenseReference"/>
          <w:b w:val="0"/>
          <w:bCs w:val="0"/>
          <w:i w:val="0"/>
          <w:smallCaps w:val="0"/>
          <w:color w:val="auto"/>
          <w:spacing w:val="0"/>
        </w:rPr>
        <w:t xml:space="preserve"> (42%) </w:t>
      </w:r>
      <w:r w:rsidR="00A37646" w:rsidRPr="000869B8">
        <w:rPr>
          <w:rStyle w:val="IntenseReference"/>
          <w:b w:val="0"/>
          <w:bCs w:val="0"/>
          <w:i w:val="0"/>
          <w:smallCaps w:val="0"/>
          <w:color w:val="auto"/>
          <w:spacing w:val="0"/>
        </w:rPr>
        <w:t xml:space="preserve">are now aware of the Health Star </w:t>
      </w:r>
      <w:r w:rsidRPr="000869B8">
        <w:rPr>
          <w:rStyle w:val="IntenseReference"/>
          <w:b w:val="0"/>
          <w:bCs w:val="0"/>
          <w:i w:val="0"/>
          <w:smallCaps w:val="0"/>
          <w:color w:val="auto"/>
          <w:spacing w:val="0"/>
        </w:rPr>
        <w:t>Rat</w:t>
      </w:r>
      <w:r w:rsidRPr="000326F5">
        <w:rPr>
          <w:rStyle w:val="IntenseReference"/>
          <w:b w:val="0"/>
          <w:bCs w:val="0"/>
          <w:i w:val="0"/>
          <w:smallCaps w:val="0"/>
          <w:color w:val="auto"/>
          <w:spacing w:val="0"/>
        </w:rPr>
        <w:t>ing;</w:t>
      </w:r>
      <w:r w:rsidR="00A37646" w:rsidRPr="000326F5">
        <w:rPr>
          <w:rStyle w:val="IntenseReference"/>
          <w:b w:val="0"/>
          <w:bCs w:val="0"/>
          <w:i w:val="0"/>
          <w:smallCaps w:val="0"/>
          <w:color w:val="auto"/>
          <w:spacing w:val="0"/>
        </w:rPr>
        <w:t xml:space="preserve"> </w:t>
      </w:r>
      <w:r w:rsidRPr="000326F5">
        <w:rPr>
          <w:rStyle w:val="IntenseReference"/>
          <w:b w:val="0"/>
          <w:bCs w:val="0"/>
          <w:i w:val="0"/>
          <w:smallCaps w:val="0"/>
          <w:color w:val="auto"/>
          <w:spacing w:val="0"/>
        </w:rPr>
        <w:t xml:space="preserve">however, awareness </w:t>
      </w:r>
      <w:r w:rsidR="000326F5" w:rsidRPr="000326F5">
        <w:rPr>
          <w:rStyle w:val="IntenseReference"/>
          <w:b w:val="0"/>
          <w:bCs w:val="0"/>
          <w:i w:val="0"/>
          <w:smallCaps w:val="0"/>
          <w:color w:val="auto"/>
          <w:spacing w:val="0"/>
        </w:rPr>
        <w:t xml:space="preserve">remains lower </w:t>
      </w:r>
      <w:r w:rsidRPr="000326F5">
        <w:rPr>
          <w:rStyle w:val="IntenseReference"/>
          <w:b w:val="0"/>
          <w:bCs w:val="0"/>
          <w:i w:val="0"/>
          <w:smallCaps w:val="0"/>
          <w:color w:val="auto"/>
          <w:spacing w:val="0"/>
        </w:rPr>
        <w:t>among older</w:t>
      </w:r>
      <w:r w:rsidR="00CF54E6">
        <w:rPr>
          <w:rStyle w:val="IntenseReference"/>
          <w:b w:val="0"/>
          <w:bCs w:val="0"/>
          <w:i w:val="0"/>
          <w:smallCaps w:val="0"/>
          <w:color w:val="auto"/>
          <w:spacing w:val="0"/>
        </w:rPr>
        <w:t xml:space="preserve"> people,</w:t>
      </w:r>
      <w:r w:rsidRPr="000326F5">
        <w:rPr>
          <w:rStyle w:val="IntenseReference"/>
          <w:b w:val="0"/>
          <w:bCs w:val="0"/>
          <w:i w:val="0"/>
          <w:smallCaps w:val="0"/>
          <w:color w:val="auto"/>
          <w:spacing w:val="0"/>
        </w:rPr>
        <w:t xml:space="preserve"> and obese class II &amp; III groups. Positively, the notable difference in awar</w:t>
      </w:r>
      <w:r w:rsidRPr="00015D0E">
        <w:rPr>
          <w:rStyle w:val="IntenseReference"/>
          <w:b w:val="0"/>
          <w:bCs w:val="0"/>
          <w:i w:val="0"/>
          <w:smallCaps w:val="0"/>
          <w:color w:val="auto"/>
          <w:spacing w:val="0"/>
        </w:rPr>
        <w:t xml:space="preserve">eness seen in April 2015 among low SES and people who speak only English at home </w:t>
      </w:r>
      <w:r w:rsidR="005D750F" w:rsidRPr="00797213">
        <w:rPr>
          <w:rStyle w:val="IntenseReference"/>
          <w:b w:val="0"/>
          <w:bCs w:val="0"/>
          <w:i w:val="0"/>
          <w:smallCaps w:val="0"/>
          <w:color w:val="auto"/>
          <w:spacing w:val="0"/>
        </w:rPr>
        <w:t xml:space="preserve">compared to </w:t>
      </w:r>
      <w:r w:rsidRPr="000869B8">
        <w:rPr>
          <w:rStyle w:val="IntenseReference"/>
          <w:b w:val="0"/>
          <w:bCs w:val="0"/>
          <w:i w:val="0"/>
          <w:smallCaps w:val="0"/>
          <w:color w:val="auto"/>
          <w:spacing w:val="0"/>
        </w:rPr>
        <w:t>th</w:t>
      </w:r>
      <w:r w:rsidRPr="000326F5">
        <w:rPr>
          <w:rStyle w:val="IntenseReference"/>
          <w:b w:val="0"/>
          <w:bCs w:val="0"/>
          <w:i w:val="0"/>
          <w:smallCaps w:val="0"/>
          <w:color w:val="auto"/>
          <w:spacing w:val="0"/>
        </w:rPr>
        <w:t>e total sample no longer exists</w:t>
      </w:r>
      <w:r w:rsidR="00CF54E6">
        <w:rPr>
          <w:rStyle w:val="IntenseReference"/>
          <w:b w:val="0"/>
          <w:bCs w:val="0"/>
          <w:i w:val="0"/>
          <w:smallCaps w:val="0"/>
          <w:color w:val="auto"/>
          <w:spacing w:val="0"/>
        </w:rPr>
        <w:t>.</w:t>
      </w:r>
    </w:p>
    <w:p w:rsidR="00953FF6" w:rsidRDefault="00953FF6" w:rsidP="00EE2A31">
      <w:pPr>
        <w:pStyle w:val="ListParagraph"/>
        <w:numPr>
          <w:ilvl w:val="0"/>
          <w:numId w:val="2"/>
        </w:numPr>
        <w:spacing w:before="240" w:after="240"/>
        <w:ind w:left="714" w:hanging="357"/>
        <w:rPr>
          <w:rStyle w:val="IntenseReference"/>
          <w:b w:val="0"/>
          <w:bCs w:val="0"/>
          <w:i w:val="0"/>
          <w:smallCaps w:val="0"/>
          <w:color w:val="auto"/>
          <w:spacing w:val="0"/>
        </w:rPr>
      </w:pPr>
      <w:r w:rsidRPr="00953FF6">
        <w:rPr>
          <w:rStyle w:val="IntenseReference"/>
          <w:b w:val="0"/>
          <w:bCs w:val="0"/>
          <w:i w:val="0"/>
          <w:smallCaps w:val="0"/>
          <w:color w:val="auto"/>
          <w:spacing w:val="0"/>
        </w:rPr>
        <w:t xml:space="preserve">Understanding of the HSR has also significantly increased </w:t>
      </w:r>
      <w:r w:rsidR="005D750F">
        <w:rPr>
          <w:rStyle w:val="IntenseReference"/>
          <w:b w:val="0"/>
          <w:bCs w:val="0"/>
          <w:i w:val="0"/>
          <w:smallCaps w:val="0"/>
          <w:color w:val="auto"/>
          <w:spacing w:val="0"/>
        </w:rPr>
        <w:t>in the past seven months</w:t>
      </w:r>
      <w:r w:rsidRPr="00953FF6">
        <w:rPr>
          <w:rStyle w:val="IntenseReference"/>
          <w:b w:val="0"/>
          <w:bCs w:val="0"/>
          <w:i w:val="0"/>
          <w:smallCaps w:val="0"/>
          <w:color w:val="auto"/>
          <w:spacing w:val="0"/>
        </w:rPr>
        <w:t xml:space="preserve">, with </w:t>
      </w:r>
      <w:r w:rsidR="002C7653">
        <w:rPr>
          <w:rStyle w:val="IntenseReference"/>
          <w:b w:val="0"/>
          <w:bCs w:val="0"/>
          <w:i w:val="0"/>
          <w:smallCaps w:val="0"/>
          <w:color w:val="auto"/>
          <w:spacing w:val="0"/>
        </w:rPr>
        <w:t xml:space="preserve">almost </w:t>
      </w:r>
      <w:r w:rsidRPr="00953FF6">
        <w:rPr>
          <w:rStyle w:val="IntenseReference"/>
          <w:b w:val="0"/>
          <w:bCs w:val="0"/>
          <w:i w:val="0"/>
          <w:smallCaps w:val="0"/>
          <w:color w:val="auto"/>
          <w:spacing w:val="0"/>
        </w:rPr>
        <w:t>two thirds</w:t>
      </w:r>
      <w:r w:rsidR="005D750F">
        <w:rPr>
          <w:rStyle w:val="IntenseReference"/>
          <w:b w:val="0"/>
          <w:bCs w:val="0"/>
          <w:i w:val="0"/>
          <w:smallCaps w:val="0"/>
          <w:color w:val="auto"/>
          <w:spacing w:val="0"/>
        </w:rPr>
        <w:t xml:space="preserve"> (64%)</w:t>
      </w:r>
      <w:r w:rsidRPr="00953FF6">
        <w:rPr>
          <w:rStyle w:val="IntenseReference"/>
          <w:b w:val="0"/>
          <w:bCs w:val="0"/>
          <w:i w:val="0"/>
          <w:smallCaps w:val="0"/>
          <w:color w:val="auto"/>
          <w:spacing w:val="0"/>
        </w:rPr>
        <w:t xml:space="preserve"> of Australians now accurately describing how to use the HSR</w:t>
      </w:r>
      <w:r w:rsidR="005D750F">
        <w:rPr>
          <w:rStyle w:val="IntenseReference"/>
          <w:b w:val="0"/>
          <w:bCs w:val="0"/>
          <w:i w:val="0"/>
          <w:smallCaps w:val="0"/>
          <w:color w:val="auto"/>
          <w:spacing w:val="0"/>
        </w:rPr>
        <w:t xml:space="preserve"> (up from 49% in September</w:t>
      </w:r>
      <w:r w:rsidR="002C7653">
        <w:rPr>
          <w:rStyle w:val="IntenseReference"/>
          <w:b w:val="0"/>
          <w:bCs w:val="0"/>
          <w:i w:val="0"/>
          <w:smallCaps w:val="0"/>
          <w:color w:val="auto"/>
          <w:spacing w:val="0"/>
        </w:rPr>
        <w:t xml:space="preserve"> 2014</w:t>
      </w:r>
      <w:r w:rsidR="005D750F">
        <w:rPr>
          <w:rStyle w:val="IntenseReference"/>
          <w:b w:val="0"/>
          <w:bCs w:val="0"/>
          <w:i w:val="0"/>
          <w:smallCaps w:val="0"/>
          <w:color w:val="auto"/>
          <w:spacing w:val="0"/>
        </w:rPr>
        <w:t>)</w:t>
      </w:r>
      <w:r w:rsidR="00CF54E6">
        <w:rPr>
          <w:rStyle w:val="IntenseReference"/>
          <w:b w:val="0"/>
          <w:bCs w:val="0"/>
          <w:i w:val="0"/>
          <w:smallCaps w:val="0"/>
          <w:color w:val="auto"/>
          <w:spacing w:val="0"/>
        </w:rPr>
        <w:t>.</w:t>
      </w:r>
    </w:p>
    <w:p w:rsidR="00A37646" w:rsidRPr="00EE2A31" w:rsidRDefault="005260F0" w:rsidP="00EE2A31">
      <w:pPr>
        <w:pStyle w:val="Heading2"/>
        <w:rPr>
          <w:rStyle w:val="IntenseReference"/>
          <w:b w:val="0"/>
          <w:bCs/>
          <w:i w:val="0"/>
          <w:smallCaps w:val="0"/>
          <w:color w:val="000000" w:themeColor="text1"/>
          <w:spacing w:val="0"/>
        </w:rPr>
      </w:pPr>
      <w:bookmarkStart w:id="20" w:name="_Toc435088766"/>
      <w:r w:rsidRPr="00EE2A31">
        <w:rPr>
          <w:rStyle w:val="IntenseReference"/>
          <w:b w:val="0"/>
          <w:bCs/>
          <w:i w:val="0"/>
          <w:smallCaps w:val="0"/>
          <w:color w:val="000000" w:themeColor="text1"/>
          <w:spacing w:val="0"/>
        </w:rPr>
        <w:t>Key Next Step</w:t>
      </w:r>
      <w:bookmarkEnd w:id="20"/>
    </w:p>
    <w:p w:rsidR="005260F0" w:rsidRPr="005260F0" w:rsidRDefault="005260F0" w:rsidP="005260F0">
      <w:pPr>
        <w:rPr>
          <w:b/>
        </w:rPr>
      </w:pPr>
      <w:r w:rsidRPr="005260F0">
        <w:rPr>
          <w:b/>
        </w:rPr>
        <w:t>Target</w:t>
      </w:r>
      <w:r w:rsidR="005550C7">
        <w:rPr>
          <w:b/>
        </w:rPr>
        <w:t>ed</w:t>
      </w:r>
      <w:r w:rsidRPr="005260F0">
        <w:rPr>
          <w:b/>
        </w:rPr>
        <w:t xml:space="preserve"> marketing activities </w:t>
      </w:r>
      <w:r w:rsidR="00DC783F">
        <w:rPr>
          <w:b/>
        </w:rPr>
        <w:t>to</w:t>
      </w:r>
      <w:r w:rsidRPr="005260F0">
        <w:rPr>
          <w:b/>
        </w:rPr>
        <w:t xml:space="preserve"> ensure no particular group fall</w:t>
      </w:r>
      <w:r w:rsidR="005D750F">
        <w:rPr>
          <w:b/>
        </w:rPr>
        <w:t>s</w:t>
      </w:r>
      <w:r w:rsidRPr="005260F0">
        <w:rPr>
          <w:b/>
        </w:rPr>
        <w:t xml:space="preserve"> behind on the</w:t>
      </w:r>
      <w:r w:rsidR="005550C7">
        <w:rPr>
          <w:b/>
        </w:rPr>
        <w:t xml:space="preserve"> awareness and understanding of the</w:t>
      </w:r>
      <w:r w:rsidRPr="005260F0">
        <w:rPr>
          <w:b/>
        </w:rPr>
        <w:t xml:space="preserve"> HSR.</w:t>
      </w:r>
    </w:p>
    <w:p w:rsidR="00CE5062" w:rsidRDefault="00CE5062">
      <w:pPr>
        <w:spacing w:after="0" w:line="240" w:lineRule="auto"/>
        <w:rPr>
          <w:rStyle w:val="IntenseReference"/>
          <w:b w:val="0"/>
          <w:bCs w:val="0"/>
          <w:i w:val="0"/>
          <w:smallCaps w:val="0"/>
          <w:color w:val="auto"/>
          <w:spacing w:val="0"/>
        </w:rPr>
      </w:pPr>
    </w:p>
    <w:p w:rsidR="00A37646" w:rsidRPr="00EE2A31" w:rsidRDefault="00B53731" w:rsidP="00EE2A31">
      <w:pPr>
        <w:pStyle w:val="Heading1"/>
        <w:rPr>
          <w:rStyle w:val="IntenseReference"/>
          <w:b w:val="0"/>
          <w:bCs/>
          <w:i w:val="0"/>
          <w:smallCaps w:val="0"/>
          <w:color w:val="000000" w:themeColor="text1"/>
          <w:spacing w:val="0"/>
          <w:u w:val="single"/>
        </w:rPr>
      </w:pPr>
      <w:bookmarkStart w:id="21" w:name="_Toc435088767"/>
      <w:r w:rsidRPr="00EE2A31">
        <w:rPr>
          <w:rStyle w:val="IntenseReference"/>
          <w:b w:val="0"/>
          <w:bCs/>
          <w:i w:val="0"/>
          <w:smallCaps w:val="0"/>
          <w:color w:val="000000" w:themeColor="text1"/>
          <w:spacing w:val="0"/>
          <w:u w:val="single"/>
        </w:rPr>
        <w:t>Campaign Performance</w:t>
      </w:r>
      <w:bookmarkEnd w:id="21"/>
    </w:p>
    <w:p w:rsidR="00480B98" w:rsidRPr="00E377A8" w:rsidRDefault="00E63275" w:rsidP="0076409D">
      <w:pPr>
        <w:rPr>
          <w:rStyle w:val="IntenseReference"/>
          <w:b w:val="0"/>
          <w:bCs w:val="0"/>
          <w:smallCaps w:val="0"/>
          <w:color w:val="000000" w:themeColor="text1"/>
          <w:spacing w:val="0"/>
          <w:sz w:val="24"/>
        </w:rPr>
      </w:pPr>
      <w:r w:rsidRPr="00E377A8">
        <w:rPr>
          <w:rStyle w:val="IntenseReference"/>
          <w:b w:val="0"/>
          <w:smallCaps w:val="0"/>
          <w:color w:val="000000" w:themeColor="text1"/>
          <w:spacing w:val="0"/>
          <w:sz w:val="24"/>
        </w:rPr>
        <w:t xml:space="preserve">Campaign recognition, branding and </w:t>
      </w:r>
      <w:r w:rsidR="009D156C" w:rsidRPr="00E377A8">
        <w:rPr>
          <w:rStyle w:val="IntenseReference"/>
          <w:b w:val="0"/>
          <w:smallCaps w:val="0"/>
          <w:color w:val="000000" w:themeColor="text1"/>
          <w:spacing w:val="0"/>
          <w:sz w:val="24"/>
        </w:rPr>
        <w:t>performance</w:t>
      </w:r>
    </w:p>
    <w:p w:rsidR="00480B98" w:rsidRDefault="00E63275" w:rsidP="00480B98">
      <w:pPr>
        <w:pStyle w:val="Subtitle"/>
      </w:pPr>
      <w:r w:rsidRPr="00E377A8">
        <w:rPr>
          <w:color w:val="000000" w:themeColor="text1"/>
        </w:rPr>
        <w:t>The Health Star Rating Campaign</w:t>
      </w:r>
      <w:r w:rsidR="00A211B7" w:rsidRPr="00E377A8">
        <w:rPr>
          <w:color w:val="000000" w:themeColor="text1"/>
        </w:rPr>
        <w:t xml:space="preserve"> Elements</w:t>
      </w:r>
    </w:p>
    <w:p w:rsidR="001E5498" w:rsidRDefault="006579E8" w:rsidP="001247B4">
      <w:r>
        <w:t xml:space="preserve">The </w:t>
      </w:r>
      <w:r w:rsidR="00E63275">
        <w:t>Health Star Rating campaign consisted of an online pre-roll video, three out of home (OOH)</w:t>
      </w:r>
      <w:r w:rsidR="005000D2">
        <w:t>, five</w:t>
      </w:r>
      <w:r w:rsidR="00E63275">
        <w:t xml:space="preserve"> </w:t>
      </w:r>
      <w:proofErr w:type="gramStart"/>
      <w:r w:rsidR="00261C85">
        <w:t>print</w:t>
      </w:r>
      <w:r w:rsidR="00AB0405">
        <w:rPr>
          <w:rStyle w:val="FootnoteReference"/>
        </w:rPr>
        <w:footnoteReference w:id="8"/>
      </w:r>
      <w:r w:rsidR="00E63275">
        <w:t>,</w:t>
      </w:r>
      <w:proofErr w:type="gramEnd"/>
      <w:r w:rsidR="00E63275">
        <w:t xml:space="preserve"> and online </w:t>
      </w:r>
      <w:r w:rsidR="00E27E0E">
        <w:t xml:space="preserve">creative </w:t>
      </w:r>
      <w:r w:rsidR="00E63275">
        <w:t>ad</w:t>
      </w:r>
      <w:r w:rsidR="005000D2">
        <w:t>vertising</w:t>
      </w:r>
      <w:r w:rsidR="00E27E0E">
        <w:t xml:space="preserve"> executions</w:t>
      </w:r>
      <w:r w:rsidR="00E63275">
        <w:t>.</w:t>
      </w:r>
    </w:p>
    <w:p w:rsidR="001E5498" w:rsidRDefault="001247B4" w:rsidP="001247B4">
      <w:r>
        <w:t>Media spend for this campaign was relatively small</w:t>
      </w:r>
      <w:r w:rsidR="008F63BD">
        <w:t xml:space="preserve"> at approximately $2 million </w:t>
      </w:r>
      <w:r w:rsidR="00875201">
        <w:t xml:space="preserve">in two waves </w:t>
      </w:r>
      <w:r w:rsidR="008F63BD">
        <w:t>over eight months</w:t>
      </w:r>
      <w:r>
        <w:t xml:space="preserve">, when compared with other recent government </w:t>
      </w:r>
      <w:r w:rsidR="001E5498">
        <w:t>(</w:t>
      </w:r>
      <w:r>
        <w:t>and private</w:t>
      </w:r>
      <w:r w:rsidR="001E5498">
        <w:t xml:space="preserve"> sector)</w:t>
      </w:r>
      <w:r>
        <w:t xml:space="preserve"> campaigns.</w:t>
      </w:r>
      <w:r w:rsidR="003C6954">
        <w:t xml:space="preserve"> </w:t>
      </w:r>
    </w:p>
    <w:p w:rsidR="001247B4" w:rsidRDefault="003C6954" w:rsidP="001247B4">
      <w:r>
        <w:t>All respondents were shown the campaign materials in the survey, with this being the first time the majority</w:t>
      </w:r>
      <w:r w:rsidR="00B032D6">
        <w:t xml:space="preserve"> </w:t>
      </w:r>
      <w:r w:rsidR="00B032D6" w:rsidRPr="008F63BD">
        <w:t>(</w:t>
      </w:r>
      <w:r w:rsidR="005253B9" w:rsidRPr="008F63BD">
        <w:t>80</w:t>
      </w:r>
      <w:r w:rsidR="00B032D6" w:rsidRPr="008F63BD">
        <w:t>%)</w:t>
      </w:r>
      <w:r>
        <w:t xml:space="preserve"> had seen any of the campaign</w:t>
      </w:r>
      <w:r w:rsidR="00F90943">
        <w:t xml:space="preserve"> </w:t>
      </w:r>
      <w:r w:rsidR="00D836CF">
        <w:t>materials</w:t>
      </w:r>
      <w:r>
        <w:t>.</w:t>
      </w:r>
    </w:p>
    <w:p w:rsidR="001E5498" w:rsidRDefault="001E5498">
      <w:pPr>
        <w:spacing w:after="0" w:line="240" w:lineRule="auto"/>
      </w:pPr>
      <w:r>
        <w:br w:type="page"/>
      </w:r>
    </w:p>
    <w:p w:rsidR="00480B98" w:rsidRDefault="00E63275" w:rsidP="00480B98">
      <w:r>
        <w:lastRenderedPageBreak/>
        <w:t xml:space="preserve">Snapshots of these </w:t>
      </w:r>
      <w:r w:rsidR="00A211B7">
        <w:t xml:space="preserve">materials </w:t>
      </w:r>
      <w:r>
        <w:t>are shown below:</w:t>
      </w:r>
    </w:p>
    <w:p w:rsidR="00E63275" w:rsidRDefault="00E63275" w:rsidP="00E63275">
      <w:pPr>
        <w:pStyle w:val="Caption"/>
      </w:pPr>
      <w:r>
        <w:t xml:space="preserve">Figure </w:t>
      </w:r>
      <w:r w:rsidR="009D5B09">
        <w:t>8</w:t>
      </w:r>
      <w:r>
        <w:t xml:space="preserve"> – Health Star Rating campaign advertising showing online pre-roll</w:t>
      </w:r>
      <w:r w:rsidR="008856A8">
        <w:t xml:space="preserve"> (video)</w:t>
      </w:r>
      <w:r>
        <w:t xml:space="preserve"> still, 3 OOH/ </w:t>
      </w:r>
      <w:r w:rsidR="008856A8">
        <w:t>print</w:t>
      </w:r>
      <w:r>
        <w:t xml:space="preserve"> </w:t>
      </w:r>
      <w:r w:rsidR="008856A8">
        <w:t xml:space="preserve">executions </w:t>
      </w:r>
      <w:r>
        <w:t xml:space="preserve">and </w:t>
      </w:r>
      <w:r w:rsidR="009C05EB">
        <w:t xml:space="preserve">an </w:t>
      </w:r>
      <w:r>
        <w:t>online ad</w:t>
      </w:r>
    </w:p>
    <w:p w:rsidR="00E63275" w:rsidRDefault="00E63275" w:rsidP="00480B98">
      <w:pPr>
        <w:rPr>
          <w:noProof/>
          <w:lang w:eastAsia="en-AU"/>
        </w:rPr>
      </w:pPr>
      <w:r w:rsidRPr="00E63275">
        <w:rPr>
          <w:noProof/>
          <w:lang w:eastAsia="en-AU"/>
        </w:rPr>
        <w:drawing>
          <wp:inline distT="0" distB="0" distL="0" distR="0" wp14:anchorId="29941541" wp14:editId="31003635">
            <wp:extent cx="2561230" cy="1459032"/>
            <wp:effectExtent l="0" t="0" r="0" b="8255"/>
            <wp:docPr id="1028" name="Picture 4" descr="This image shows a woman holding two packets of cereal as if comparing and has the words &quot;Stars on packs soon&quot; across the bottom of the frame. " title="Image from the Health Star Rating pre-roll advertis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561230" cy="145903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Pr="00E63275">
        <w:rPr>
          <w:noProof/>
          <w:lang w:eastAsia="en-AU"/>
        </w:rPr>
        <w:t xml:space="preserve"> </w:t>
      </w:r>
    </w:p>
    <w:p w:rsidR="00E63275" w:rsidRDefault="00CD68FD" w:rsidP="00480B98">
      <w:r>
        <w:rPr>
          <w:noProof/>
          <w:lang w:eastAsia="en-AU"/>
        </w:rPr>
        <w:drawing>
          <wp:inline distT="0" distB="0" distL="0" distR="0">
            <wp:extent cx="2583815" cy="3423920"/>
            <wp:effectExtent l="0" t="0" r="6985" b="5080"/>
            <wp:docPr id="2" name="Picture 2" descr="This image shows the camapign print/OOH advertisments with the three talents: 'Jo' (female), 'Eddie' (male) and Tanya (younger female).The pictorial execution is the same across the three ads - the talent holding two mock-packets of cereal with the HSR prominent, and smiling to camera." title="The print / out of home (OOH) advertisements (3 tal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4\balazm\Desktop\HSRTalent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3815" cy="3423920"/>
                    </a:xfrm>
                    <a:prstGeom prst="rect">
                      <a:avLst/>
                    </a:prstGeom>
                    <a:noFill/>
                    <a:ln>
                      <a:noFill/>
                    </a:ln>
                  </pic:spPr>
                </pic:pic>
              </a:graphicData>
            </a:graphic>
          </wp:inline>
        </w:drawing>
      </w:r>
    </w:p>
    <w:p w:rsidR="00E63275" w:rsidRDefault="00E63275" w:rsidP="00480B98">
      <w:r>
        <w:rPr>
          <w:noProof/>
          <w:lang w:eastAsia="en-AU"/>
        </w:rPr>
        <w:drawing>
          <wp:inline distT="0" distB="0" distL="0" distR="0" wp14:anchorId="0BF38FDC" wp14:editId="19E2B448">
            <wp:extent cx="5262245" cy="741680"/>
            <wp:effectExtent l="0" t="0" r="0" b="1270"/>
            <wp:docPr id="25" name="Picture 25" descr="This image shows the 6 consecutive frames of the online advertising in a horizontal row. " title="Image of the 6 frame online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llinate\2. Clients\Department of Health\12262 Project Star\Fieldwork\Stimulus\F2 (Online) 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2245" cy="741680"/>
                    </a:xfrm>
                    <a:prstGeom prst="rect">
                      <a:avLst/>
                    </a:prstGeom>
                    <a:noFill/>
                    <a:ln>
                      <a:noFill/>
                    </a:ln>
                  </pic:spPr>
                </pic:pic>
              </a:graphicData>
            </a:graphic>
          </wp:inline>
        </w:drawing>
      </w:r>
    </w:p>
    <w:p w:rsidR="009D156C" w:rsidRDefault="003D32FA" w:rsidP="00991A21">
      <w:pPr>
        <w:spacing w:before="480"/>
      </w:pPr>
      <w:r>
        <w:t xml:space="preserve">One in five (20%) of those surveyed have seen </w:t>
      </w:r>
      <w:r w:rsidR="00760A29">
        <w:t>at least one element</w:t>
      </w:r>
      <w:r>
        <w:t xml:space="preserve"> of </w:t>
      </w:r>
      <w:r w:rsidR="009D156C">
        <w:t>the Health Star Rating campa</w:t>
      </w:r>
      <w:r w:rsidR="006579E8">
        <w:t>ign</w:t>
      </w:r>
      <w:r w:rsidR="009D156C">
        <w:t>. The few significant differences regarding campaign awareness were:</w:t>
      </w:r>
    </w:p>
    <w:p w:rsidR="009D156C" w:rsidRDefault="005B2C66" w:rsidP="00EE2A31">
      <w:pPr>
        <w:pStyle w:val="ListParagraph"/>
        <w:numPr>
          <w:ilvl w:val="0"/>
          <w:numId w:val="7"/>
        </w:numPr>
      </w:pPr>
      <w:r w:rsidRPr="005B2C66">
        <w:t>Males were significantly more likely to</w:t>
      </w:r>
      <w:r w:rsidR="00A211B7">
        <w:t xml:space="preserve"> recall</w:t>
      </w:r>
      <w:r w:rsidRPr="005B2C66">
        <w:t xml:space="preserve"> see</w:t>
      </w:r>
      <w:r w:rsidR="00A211B7">
        <w:t>ing</w:t>
      </w:r>
      <w:r w:rsidRPr="005B2C66">
        <w:t xml:space="preserve"> the campaign than females</w:t>
      </w:r>
      <w:r>
        <w:t xml:space="preserve"> </w:t>
      </w:r>
      <w:r w:rsidRPr="005B2C66">
        <w:t>(25% vs. 18%)</w:t>
      </w:r>
      <w:r w:rsidR="001E5498">
        <w:t>;</w:t>
      </w:r>
    </w:p>
    <w:p w:rsidR="009D156C" w:rsidRDefault="005B2C66" w:rsidP="00EE2A31">
      <w:pPr>
        <w:pStyle w:val="ListParagraph"/>
        <w:numPr>
          <w:ilvl w:val="0"/>
          <w:numId w:val="7"/>
        </w:numPr>
      </w:pPr>
      <w:r w:rsidRPr="005B2C66">
        <w:t>Metro</w:t>
      </w:r>
      <w:r w:rsidR="003746F4">
        <w:t xml:space="preserve"> respondents</w:t>
      </w:r>
      <w:r w:rsidRPr="005B2C66">
        <w:t xml:space="preserve"> were significantly more likely to </w:t>
      </w:r>
      <w:r w:rsidR="001F3558">
        <w:t xml:space="preserve">recall </w:t>
      </w:r>
      <w:r w:rsidRPr="005B2C66">
        <w:t>see</w:t>
      </w:r>
      <w:r w:rsidR="001F3558">
        <w:t>ing</w:t>
      </w:r>
      <w:r w:rsidRPr="005B2C66">
        <w:t xml:space="preserve"> the campaign than regional</w:t>
      </w:r>
      <w:r w:rsidR="009D156C">
        <w:t xml:space="preserve"> </w:t>
      </w:r>
      <w:r w:rsidR="00E83A1F">
        <w:t xml:space="preserve">respondents </w:t>
      </w:r>
      <w:r w:rsidRPr="005B2C66">
        <w:t>(23% vs. 15%)</w:t>
      </w:r>
      <w:r w:rsidR="001E5498">
        <w:t>;</w:t>
      </w:r>
      <w:r w:rsidR="009D156C">
        <w:t xml:space="preserve"> and</w:t>
      </w:r>
      <w:r w:rsidR="007919C3">
        <w:t xml:space="preserve"> </w:t>
      </w:r>
    </w:p>
    <w:p w:rsidR="005B2C66" w:rsidRPr="005B2C66" w:rsidRDefault="005B2C66" w:rsidP="00EE2A31">
      <w:pPr>
        <w:pStyle w:val="ListParagraph"/>
        <w:numPr>
          <w:ilvl w:val="0"/>
          <w:numId w:val="7"/>
        </w:numPr>
      </w:pPr>
      <w:r w:rsidRPr="005B2C66">
        <w:t>People who speak a language other than English at home were more likely to</w:t>
      </w:r>
      <w:r w:rsidR="001F3558">
        <w:t xml:space="preserve"> recall</w:t>
      </w:r>
      <w:r w:rsidRPr="005B2C66">
        <w:t xml:space="preserve"> see</w:t>
      </w:r>
      <w:r w:rsidR="001F3558">
        <w:t>ing</w:t>
      </w:r>
      <w:r w:rsidRPr="005B2C66">
        <w:t xml:space="preserve"> the campaign than</w:t>
      </w:r>
      <w:r w:rsidR="00AC5519">
        <w:t xml:space="preserve"> those who speak</w:t>
      </w:r>
      <w:r w:rsidRPr="005B2C66">
        <w:t xml:space="preserve"> English</w:t>
      </w:r>
      <w:r w:rsidR="00AC5519">
        <w:t xml:space="preserve"> </w:t>
      </w:r>
      <w:r w:rsidRPr="005B2C66">
        <w:t>only (27% vs. 18%)</w:t>
      </w:r>
      <w:r w:rsidR="009D156C">
        <w:t>.</w:t>
      </w:r>
    </w:p>
    <w:p w:rsidR="005B2C66" w:rsidRPr="005B2C66" w:rsidRDefault="009D156C" w:rsidP="005B2C66">
      <w:r>
        <w:lastRenderedPageBreak/>
        <w:t>It is p</w:t>
      </w:r>
      <w:r w:rsidR="005B2C66" w:rsidRPr="005B2C66">
        <w:t xml:space="preserve">ositive to see </w:t>
      </w:r>
      <w:r>
        <w:t>the campaign has reached a higher level of males</w:t>
      </w:r>
      <w:r w:rsidR="00CF54E6">
        <w:t xml:space="preserve"> than females</w:t>
      </w:r>
      <w:r>
        <w:t xml:space="preserve">, given research has </w:t>
      </w:r>
      <w:r w:rsidR="001F3558">
        <w:t>previ</w:t>
      </w:r>
      <w:r>
        <w:t xml:space="preserve">ously shown </w:t>
      </w:r>
      <w:r w:rsidR="005B2C66" w:rsidRPr="005B2C66">
        <w:t>males to have low</w:t>
      </w:r>
      <w:r w:rsidR="001F3558">
        <w:t>er</w:t>
      </w:r>
      <w:r w:rsidR="005B2C66" w:rsidRPr="005B2C66">
        <w:t xml:space="preserve"> engagement with the HSR</w:t>
      </w:r>
      <w:r>
        <w:t>.</w:t>
      </w:r>
    </w:p>
    <w:p w:rsidR="005B2C66" w:rsidRDefault="009D156C" w:rsidP="009D156C">
      <w:pPr>
        <w:pStyle w:val="Heading2"/>
      </w:pPr>
      <w:bookmarkStart w:id="22" w:name="_Toc435088768"/>
      <w:r>
        <w:t>Campaign specific materials</w:t>
      </w:r>
      <w:bookmarkEnd w:id="22"/>
    </w:p>
    <w:p w:rsidR="009D156C" w:rsidRPr="00E377A8" w:rsidRDefault="009D156C" w:rsidP="00E955D6">
      <w:pPr>
        <w:pStyle w:val="Heading2"/>
      </w:pPr>
      <w:bookmarkStart w:id="23" w:name="_Toc435088769"/>
      <w:r w:rsidRPr="00E377A8">
        <w:rPr>
          <w:noProof/>
          <w:lang w:eastAsia="en-AU"/>
        </w:rPr>
        <w:t xml:space="preserve">Pre-roll </w:t>
      </w:r>
      <w:r w:rsidR="003B39F0" w:rsidRPr="00E377A8">
        <w:rPr>
          <w:noProof/>
          <w:lang w:eastAsia="en-AU"/>
        </w:rPr>
        <w:t>Video</w:t>
      </w:r>
      <w:bookmarkEnd w:id="23"/>
    </w:p>
    <w:p w:rsidR="005B2C66" w:rsidRPr="005B2C66" w:rsidRDefault="009D156C" w:rsidP="005B2C66">
      <w:r>
        <w:t xml:space="preserve">Of </w:t>
      </w:r>
      <w:r w:rsidR="002F40B5">
        <w:t>all of the campaign elements</w:t>
      </w:r>
      <w:r>
        <w:t xml:space="preserve">, the pre-roll </w:t>
      </w:r>
      <w:r w:rsidR="003B39F0">
        <w:t xml:space="preserve">video </w:t>
      </w:r>
      <w:r>
        <w:t xml:space="preserve">had the highest level of recall; with </w:t>
      </w:r>
      <w:r w:rsidR="00CF54E6">
        <w:t xml:space="preserve">nearly </w:t>
      </w:r>
      <w:r>
        <w:t>o</w:t>
      </w:r>
      <w:r w:rsidR="005B2C66" w:rsidRPr="005B2C66">
        <w:t xml:space="preserve">ne in six </w:t>
      </w:r>
      <w:r>
        <w:t>(15%) stating</w:t>
      </w:r>
      <w:r w:rsidR="005B2C66" w:rsidRPr="005B2C66">
        <w:t xml:space="preserve"> they have seen the HSR pre-roll video. </w:t>
      </w:r>
      <w:r>
        <w:t xml:space="preserve">This figure was significantly higher among </w:t>
      </w:r>
      <w:r w:rsidR="005B2C66" w:rsidRPr="005B2C66">
        <w:t xml:space="preserve">CALD </w:t>
      </w:r>
      <w:r>
        <w:t>respondents</w:t>
      </w:r>
      <w:r w:rsidR="00EB310B">
        <w:t xml:space="preserve"> (21%)</w:t>
      </w:r>
      <w:r w:rsidR="005B2C66" w:rsidRPr="005B2C66">
        <w:t>, and people aged 18-24 (21%)</w:t>
      </w:r>
      <w:r w:rsidR="006579E8">
        <w:t xml:space="preserve">. It was </w:t>
      </w:r>
      <w:r>
        <w:t>significantly lower among p</w:t>
      </w:r>
      <w:r w:rsidR="005B2C66" w:rsidRPr="005B2C66">
        <w:t>eople in QLD</w:t>
      </w:r>
      <w:r w:rsidR="00EB310B">
        <w:t xml:space="preserve"> (12%) </w:t>
      </w:r>
      <w:r w:rsidR="005B2C66" w:rsidRPr="005B2C66">
        <w:t>and those aged 55-64 (12%)</w:t>
      </w:r>
      <w:r>
        <w:t>.</w:t>
      </w:r>
    </w:p>
    <w:p w:rsidR="005B2C66" w:rsidRDefault="005B2C66" w:rsidP="005B2C66">
      <w:r w:rsidRPr="005B2C66">
        <w:t xml:space="preserve">The pre-roll </w:t>
      </w:r>
      <w:r w:rsidR="009D156C">
        <w:t xml:space="preserve">was </w:t>
      </w:r>
      <w:r w:rsidRPr="005B2C66">
        <w:t xml:space="preserve">perceived as </w:t>
      </w:r>
      <w:r w:rsidR="009D156C">
        <w:t>easy to understand and making its point in a simple way</w:t>
      </w:r>
      <w:r w:rsidRPr="005B2C66">
        <w:t xml:space="preserve">, </w:t>
      </w:r>
      <w:r w:rsidR="00AC5519">
        <w:t>rated less well</w:t>
      </w:r>
      <w:r w:rsidR="00991A21">
        <w:t xml:space="preserve"> in grabbing people’s attention. </w:t>
      </w:r>
      <w:r w:rsidR="009D156C">
        <w:t xml:space="preserve">Those </w:t>
      </w:r>
      <w:r w:rsidRPr="005B2C66">
        <w:t xml:space="preserve">who </w:t>
      </w:r>
      <w:r w:rsidR="007706A0">
        <w:t>h</w:t>
      </w:r>
      <w:r w:rsidR="009C05EB">
        <w:t>a</w:t>
      </w:r>
      <w:r w:rsidR="007706A0">
        <w:t>d seen</w:t>
      </w:r>
      <w:r w:rsidRPr="005B2C66">
        <w:t xml:space="preserve"> the </w:t>
      </w:r>
      <w:r w:rsidR="00AC5519">
        <w:t>pre-roll</w:t>
      </w:r>
      <w:r w:rsidR="00AC5519" w:rsidRPr="005B2C66">
        <w:t xml:space="preserve"> </w:t>
      </w:r>
      <w:r w:rsidR="00384195">
        <w:t>prior to the survey</w:t>
      </w:r>
      <w:r w:rsidRPr="005B2C66">
        <w:t xml:space="preserve"> </w:t>
      </w:r>
      <w:r w:rsidR="009D156C">
        <w:t xml:space="preserve">rated </w:t>
      </w:r>
      <w:r w:rsidR="00AC5519">
        <w:t>it</w:t>
      </w:r>
      <w:r w:rsidR="006A6A33">
        <w:t xml:space="preserve"> </w:t>
      </w:r>
      <w:r w:rsidRPr="005B2C66">
        <w:t xml:space="preserve">higher than </w:t>
      </w:r>
      <w:r w:rsidR="007706A0">
        <w:t xml:space="preserve">other respondents </w:t>
      </w:r>
      <w:r w:rsidRPr="005B2C66">
        <w:t xml:space="preserve">for the role </w:t>
      </w:r>
      <w:r w:rsidR="00AC5519">
        <w:t>it</w:t>
      </w:r>
      <w:r w:rsidRPr="005B2C66">
        <w:t xml:space="preserve"> plays in helping to make healthy decisions</w:t>
      </w:r>
      <w:r w:rsidR="009D156C">
        <w:t>, specifically ‘Helps me make decisions about which food to buy</w:t>
      </w:r>
      <w:r w:rsidR="00CE5062">
        <w:t>’</w:t>
      </w:r>
      <w:r w:rsidR="009D156C">
        <w:t xml:space="preserve"> (51% vs. 41%).</w:t>
      </w:r>
    </w:p>
    <w:p w:rsidR="00AC5519" w:rsidRDefault="00015D0E" w:rsidP="00E955D6">
      <w:r>
        <w:t>A</w:t>
      </w:r>
      <w:r w:rsidRPr="005B2C66">
        <w:t>lthough</w:t>
      </w:r>
      <w:r>
        <w:t xml:space="preserve"> a smaller proportion agreed that the pre-roll was ‘attention grabbing’ (37%), e</w:t>
      </w:r>
      <w:r w:rsidR="007706A0">
        <w:t>ncouragingly, agreement with the negative statement</w:t>
      </w:r>
      <w:r>
        <w:t xml:space="preserve">s </w:t>
      </w:r>
      <w:r w:rsidR="00D836CF">
        <w:t>‘</w:t>
      </w:r>
      <w:r>
        <w:t>it is boring’ (10%)</w:t>
      </w:r>
      <w:r w:rsidR="007706A0">
        <w:t xml:space="preserve"> </w:t>
      </w:r>
      <w:r>
        <w:t xml:space="preserve">and </w:t>
      </w:r>
      <w:r w:rsidR="007706A0">
        <w:t>‘it is irritating’</w:t>
      </w:r>
      <w:r>
        <w:t xml:space="preserve"> (7%)</w:t>
      </w:r>
      <w:r w:rsidR="007706A0">
        <w:t xml:space="preserve"> </w:t>
      </w:r>
      <w:r>
        <w:t>are very low.</w:t>
      </w:r>
      <w:r w:rsidR="00E955D6">
        <w:t xml:space="preserve"> </w:t>
      </w:r>
    </w:p>
    <w:p w:rsidR="00AC5519" w:rsidRDefault="00AC5519" w:rsidP="00E955D6">
      <w:r>
        <w:t xml:space="preserve">The findings are detailed in Figure 9 below. </w:t>
      </w:r>
    </w:p>
    <w:p w:rsidR="00EF0FC5" w:rsidRDefault="00AC5519" w:rsidP="00CD68FD">
      <w:pPr>
        <w:spacing w:after="0" w:line="240" w:lineRule="auto"/>
      </w:pPr>
      <w:r>
        <w:br w:type="page"/>
      </w:r>
    </w:p>
    <w:p w:rsidR="005B2C66" w:rsidRDefault="005B2C66" w:rsidP="005B2C66">
      <w:pPr>
        <w:pStyle w:val="Caption"/>
      </w:pPr>
      <w:r>
        <w:lastRenderedPageBreak/>
        <w:t>Figure</w:t>
      </w:r>
      <w:r w:rsidR="009D5B09">
        <w:t xml:space="preserve"> 9</w:t>
      </w:r>
      <w:r w:rsidR="00BE6346">
        <w:t xml:space="preserve"> - </w:t>
      </w:r>
      <w:r w:rsidR="00BE6346" w:rsidRPr="00BE6346">
        <w:t xml:space="preserve">Which of these statements describe how you feel about the advertising? </w:t>
      </w:r>
      <w:r w:rsidR="00FF4F41">
        <w:t>Pre-roll (video)</w:t>
      </w:r>
      <w:r w:rsidR="00FF4F41" w:rsidRPr="00BE6346">
        <w:t xml:space="preserve"> </w:t>
      </w:r>
      <w:r w:rsidR="00BE6346" w:rsidRPr="00BE6346">
        <w:t>A</w:t>
      </w:r>
      <w:r w:rsidR="00FF4F41">
        <w:t>d</w:t>
      </w:r>
    </w:p>
    <w:p w:rsidR="009D156C" w:rsidRDefault="005B2C66">
      <w:pPr>
        <w:spacing w:after="0" w:line="240" w:lineRule="auto"/>
      </w:pPr>
      <w:r w:rsidRPr="005B2C66">
        <w:rPr>
          <w:noProof/>
          <w:lang w:eastAsia="en-AU"/>
        </w:rPr>
        <w:drawing>
          <wp:inline distT="0" distB="0" distL="0" distR="0" wp14:anchorId="292ADAF7" wp14:editId="6C1F0108">
            <wp:extent cx="5273749" cy="3987209"/>
            <wp:effectExtent l="0" t="0" r="22225" b="13335"/>
            <wp:docPr id="31" name="Chart 31" descr="Figure 9 is a horizontal bar chart which shows how respondents feel about the pre-roll (video) advertising through different statements. There is a comparison between the total responses and those that have seen the video ad. &#10;The results are discussed in the paragraph preceding the chart. The obvious trend (across all but two responses) is that those who have seen the pre-roll are more likely to agree with positive statements and less likely to agree with negative statements than the survey average. &#10;The following detailed breakdown compares proportions for survey respondents overall with those who have seen the pre-roll ad prior to the survey respectively: &#10;It is easy to understand - 57% vs 62%; Makes its point in a simple way - 53% vs 53%; It is informative - 48% vs 50%; Helps me think about the healthiness of food - 45% vs 53%; Helps me make decisions about which foods to buy - 41% vs 51%, It tells me something new - 38% vs 36%; It is aimed at someone like me - 34% vs 45%; I believe what it says - 31% vs 41%;  It makes its point in a clever way - 27% vs 33%; It really grabs your attention - 25% vs 37%. &#10;Against negative statements the trend reverses: It just washed over me - 15% vs 13%; It's boring - 12% vs 12%; It's irritating - 7% vs 6%; and None of these - 11% vs 9%&#10;" title="Figure 9 - Which of these statements describe how you feel about the advertising? Pre-roll (video) Ad"/>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D156C" w:rsidRPr="00BE6346" w:rsidRDefault="00BE6346">
      <w:pPr>
        <w:spacing w:after="0" w:line="240" w:lineRule="auto"/>
        <w:rPr>
          <w:sz w:val="20"/>
          <w:szCs w:val="20"/>
        </w:rPr>
      </w:pPr>
      <w:r w:rsidRPr="00BE6346">
        <w:rPr>
          <w:sz w:val="20"/>
          <w:szCs w:val="20"/>
        </w:rPr>
        <w:t>Base: All respondents (n=1000).</w:t>
      </w:r>
    </w:p>
    <w:p w:rsidR="009D156C" w:rsidRPr="00EE2A31" w:rsidRDefault="00F81A53" w:rsidP="00E955D6">
      <w:pPr>
        <w:pStyle w:val="Heading2"/>
      </w:pPr>
      <w:bookmarkStart w:id="24" w:name="_Toc435088770"/>
      <w:r w:rsidRPr="00EE2A31">
        <w:rPr>
          <w:noProof/>
          <w:lang w:eastAsia="en-AU"/>
        </w:rPr>
        <w:t xml:space="preserve">OOH/ </w:t>
      </w:r>
      <w:r w:rsidR="008856A8" w:rsidRPr="00EE2A31">
        <w:rPr>
          <w:noProof/>
          <w:lang w:eastAsia="en-AU"/>
        </w:rPr>
        <w:t xml:space="preserve">Print </w:t>
      </w:r>
      <w:r w:rsidRPr="00EE2A31">
        <w:rPr>
          <w:noProof/>
          <w:lang w:eastAsia="en-AU"/>
        </w:rPr>
        <w:t xml:space="preserve"> creative</w:t>
      </w:r>
      <w:bookmarkEnd w:id="24"/>
    </w:p>
    <w:p w:rsidR="005B2C66" w:rsidRPr="005B2C66" w:rsidRDefault="005B2C66" w:rsidP="009D156C">
      <w:r w:rsidRPr="005B2C66">
        <w:t xml:space="preserve">One in ten </w:t>
      </w:r>
      <w:r w:rsidR="00EF0FC5">
        <w:t>(10%)</w:t>
      </w:r>
      <w:r w:rsidR="00F81A53">
        <w:t xml:space="preserve"> respondents stated </w:t>
      </w:r>
      <w:r w:rsidR="00D836CF">
        <w:t xml:space="preserve">that </w:t>
      </w:r>
      <w:r w:rsidR="00F81A53">
        <w:t xml:space="preserve">they </w:t>
      </w:r>
      <w:r w:rsidR="00D836CF">
        <w:t xml:space="preserve">had seen </w:t>
      </w:r>
      <w:r w:rsidR="00F81A53">
        <w:t xml:space="preserve">at least </w:t>
      </w:r>
      <w:r w:rsidRPr="005B2C66">
        <w:t>one of the OOH/</w:t>
      </w:r>
      <w:r w:rsidR="008856A8">
        <w:t xml:space="preserve">print </w:t>
      </w:r>
      <w:r w:rsidRPr="005B2C66">
        <w:t xml:space="preserve"> creative</w:t>
      </w:r>
      <w:r w:rsidR="00086DB1">
        <w:t xml:space="preserve"> execution</w:t>
      </w:r>
      <w:r w:rsidRPr="005B2C66">
        <w:t>s, with ‘Jo’ being the most recalled</w:t>
      </w:r>
      <w:r w:rsidR="00F81A53">
        <w:t xml:space="preserve"> (8%), followed by ‘Tanya’ (6%), then ‘Eddie’ (5%)</w:t>
      </w:r>
      <w:r w:rsidRPr="005B2C66">
        <w:t xml:space="preserve">. </w:t>
      </w:r>
      <w:r w:rsidR="00FF4F41">
        <w:t xml:space="preserve">This reflects the media buy, as the execution with ‘Jo’ occupied more media.  </w:t>
      </w:r>
      <w:r w:rsidRPr="005B2C66">
        <w:t xml:space="preserve">With the pre-roll accounting for 15% of campaign recall, the OOH has helped </w:t>
      </w:r>
      <w:r w:rsidR="00CF54E6">
        <w:t xml:space="preserve">to </w:t>
      </w:r>
      <w:r w:rsidR="00F81A53">
        <w:t xml:space="preserve">drive </w:t>
      </w:r>
      <w:r w:rsidR="00914C18">
        <w:t>campaign recognition</w:t>
      </w:r>
      <w:r w:rsidR="00F81A53">
        <w:t>.</w:t>
      </w:r>
    </w:p>
    <w:p w:rsidR="005B2C66" w:rsidRDefault="005B2C66" w:rsidP="005B2C66">
      <w:pPr>
        <w:pStyle w:val="Caption"/>
      </w:pPr>
      <w:r>
        <w:t xml:space="preserve">Figure </w:t>
      </w:r>
      <w:r w:rsidR="009D5B09">
        <w:t>10</w:t>
      </w:r>
      <w:r w:rsidR="00BE6346">
        <w:t xml:space="preserve"> </w:t>
      </w:r>
      <w:r w:rsidR="00AA6238">
        <w:t>–</w:t>
      </w:r>
      <w:r w:rsidR="00BE6346">
        <w:t xml:space="preserve"> </w:t>
      </w:r>
      <w:r w:rsidR="00AA6238">
        <w:t>Response to the question: “H</w:t>
      </w:r>
      <w:r w:rsidR="00BE6346" w:rsidRPr="00BE6346">
        <w:t>ave you seen any of the</w:t>
      </w:r>
      <w:r w:rsidR="00DA6F0E">
        <w:t>se</w:t>
      </w:r>
      <w:r w:rsidR="00BE6346" w:rsidRPr="00BE6346">
        <w:t xml:space="preserve"> ads before?</w:t>
      </w:r>
      <w:r w:rsidR="00AA6238">
        <w:t>”</w:t>
      </w:r>
    </w:p>
    <w:p w:rsidR="00BE6346" w:rsidRDefault="00EB310B" w:rsidP="005B2C66">
      <w:pPr>
        <w:spacing w:line="240" w:lineRule="auto"/>
      </w:pPr>
      <w:r>
        <w:rPr>
          <w:noProof/>
          <w:lang w:eastAsia="en-AU"/>
        </w:rPr>
        <w:drawing>
          <wp:inline distT="0" distB="0" distL="0" distR="0" wp14:anchorId="7C777ECC" wp14:editId="0F4851B9">
            <wp:extent cx="5274310" cy="1914707"/>
            <wp:effectExtent l="0" t="0" r="2540" b="9525"/>
            <wp:docPr id="1" name="Picture 1" descr="Figure 10 shows images of the three print/OOH executions with proportions reporting to have seen them prior to the survey.  The results are:  Seen any OOH/print, 10%; Seen ‘Jo’ (female talent), 8%; Seen Tanya (younger female talent), 6%; and Seen Eddie (male talent), 5%. " title="Figure 10 - Response to the question ' have you seen any of these ads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1914707"/>
                    </a:xfrm>
                    <a:prstGeom prst="rect">
                      <a:avLst/>
                    </a:prstGeom>
                  </pic:spPr>
                </pic:pic>
              </a:graphicData>
            </a:graphic>
          </wp:inline>
        </w:drawing>
      </w:r>
    </w:p>
    <w:p w:rsidR="00BE6346" w:rsidRPr="00BE6346" w:rsidRDefault="00BE6346" w:rsidP="005B2C66">
      <w:pPr>
        <w:spacing w:line="240" w:lineRule="auto"/>
        <w:rPr>
          <w:sz w:val="20"/>
          <w:szCs w:val="20"/>
        </w:rPr>
      </w:pPr>
      <w:r w:rsidRPr="00BE6346">
        <w:rPr>
          <w:sz w:val="20"/>
          <w:szCs w:val="20"/>
        </w:rPr>
        <w:t>Base: All respondents (n=1000).</w:t>
      </w:r>
    </w:p>
    <w:p w:rsidR="005B2C66" w:rsidRPr="005B2C66" w:rsidRDefault="00B23937" w:rsidP="00E377A8">
      <w:pPr>
        <w:spacing w:before="240" w:after="240" w:line="240" w:lineRule="auto"/>
      </w:pPr>
      <w:r>
        <w:lastRenderedPageBreak/>
        <w:t xml:space="preserve">The main location </w:t>
      </w:r>
      <w:r w:rsidR="00384195">
        <w:t xml:space="preserve">reported for seeing these </w:t>
      </w:r>
      <w:r w:rsidR="00FF4F41">
        <w:t xml:space="preserve">executions </w:t>
      </w:r>
      <w:r w:rsidR="00384195">
        <w:t>is ‘</w:t>
      </w:r>
      <w:r w:rsidR="005B2C66" w:rsidRPr="005B2C66">
        <w:t>In store</w:t>
      </w:r>
      <w:r w:rsidR="00384195">
        <w:t xml:space="preserve"> promotion’</w:t>
      </w:r>
      <w:r w:rsidR="005B2C66" w:rsidRPr="005B2C66">
        <w:t xml:space="preserve"> </w:t>
      </w:r>
      <w:r w:rsidR="00384195">
        <w:t>(37%)</w:t>
      </w:r>
      <w:r w:rsidR="009C05EB">
        <w:t>.  As the media buy included no</w:t>
      </w:r>
      <w:r w:rsidR="00AC5519">
        <w:t xml:space="preserve"> actual</w:t>
      </w:r>
      <w:r w:rsidR="009C05EB">
        <w:t xml:space="preserve"> in-store promotion, it is </w:t>
      </w:r>
      <w:r w:rsidR="00914C18">
        <w:t>possible that</w:t>
      </w:r>
      <w:r w:rsidR="009C05EB">
        <w:t xml:space="preserve"> </w:t>
      </w:r>
      <w:r w:rsidR="00914C18">
        <w:t xml:space="preserve">some </w:t>
      </w:r>
      <w:r w:rsidR="009C05EB">
        <w:t xml:space="preserve">respondents </w:t>
      </w:r>
      <w:r w:rsidR="00914C18">
        <w:t>are recalling the</w:t>
      </w:r>
      <w:r w:rsidR="009C05EB">
        <w:t xml:space="preserve"> OOH advertising</w:t>
      </w:r>
      <w:r w:rsidR="00A6020D">
        <w:t xml:space="preserve"> that was placed outside supermarkets in shopping centres</w:t>
      </w:r>
      <w:r w:rsidR="00AC5519">
        <w:t>, or are recalling advertising from food companies which had an in-store presence</w:t>
      </w:r>
      <w:r w:rsidR="009C05EB">
        <w:t>.  T</w:t>
      </w:r>
      <w:r w:rsidR="00384195">
        <w:t xml:space="preserve">here is some </w:t>
      </w:r>
      <w:r w:rsidR="00AC5519">
        <w:t xml:space="preserve">other </w:t>
      </w:r>
      <w:r w:rsidR="00BE74A9">
        <w:t xml:space="preserve">misattribution </w:t>
      </w:r>
      <w:r w:rsidR="005B2C66" w:rsidRPr="005B2C66">
        <w:t xml:space="preserve">with </w:t>
      </w:r>
      <w:r w:rsidR="00BE74A9">
        <w:t>three in ten</w:t>
      </w:r>
      <w:r w:rsidR="00BE74A9" w:rsidRPr="005B2C66">
        <w:t xml:space="preserve"> </w:t>
      </w:r>
      <w:r w:rsidR="00BE74A9">
        <w:t>(30%)</w:t>
      </w:r>
      <w:r w:rsidR="005B2C66" w:rsidRPr="005B2C66">
        <w:t xml:space="preserve"> saying they saw the ads on TV. Such confusion </w:t>
      </w:r>
      <w:r w:rsidR="00384195">
        <w:t xml:space="preserve">typically occurs </w:t>
      </w:r>
      <w:r w:rsidR="005B2C66" w:rsidRPr="005B2C66">
        <w:t>with TV</w:t>
      </w:r>
      <w:r w:rsidR="00384195">
        <w:t xml:space="preserve"> receiving a higher level of attribution than is the case. This </w:t>
      </w:r>
      <w:r w:rsidR="00037EF9">
        <w:t xml:space="preserve">may also be explained </w:t>
      </w:r>
      <w:r w:rsidR="00EF0FC5">
        <w:t>by</w:t>
      </w:r>
      <w:r w:rsidR="00037EF9">
        <w:t xml:space="preserve"> these </w:t>
      </w:r>
      <w:r w:rsidR="00FF4F41">
        <w:t xml:space="preserve">executions </w:t>
      </w:r>
      <w:r w:rsidR="00EF0FC5">
        <w:t>looking</w:t>
      </w:r>
      <w:r w:rsidR="00384195">
        <w:t xml:space="preserve"> similar to the pre-roll</w:t>
      </w:r>
      <w:r w:rsidR="005B2C66" w:rsidRPr="005B2C66">
        <w:t>, and</w:t>
      </w:r>
      <w:r w:rsidR="00BE74A9">
        <w:t>/or</w:t>
      </w:r>
      <w:r w:rsidR="005B2C66" w:rsidRPr="005B2C66">
        <w:t xml:space="preserve"> </w:t>
      </w:r>
      <w:r w:rsidR="00FF4F41">
        <w:t xml:space="preserve">that </w:t>
      </w:r>
      <w:r w:rsidR="005B2C66" w:rsidRPr="005B2C66">
        <w:t xml:space="preserve">people </w:t>
      </w:r>
      <w:r w:rsidR="00384195">
        <w:t xml:space="preserve">may </w:t>
      </w:r>
      <w:r w:rsidR="005B2C66" w:rsidRPr="005B2C66">
        <w:t>have seen the HSR advertised on TV</w:t>
      </w:r>
      <w:r w:rsidR="00384195">
        <w:t xml:space="preserve"> </w:t>
      </w:r>
      <w:r w:rsidR="00CE5062">
        <w:t xml:space="preserve">by </w:t>
      </w:r>
      <w:r w:rsidR="00AC5519">
        <w:t>food companies</w:t>
      </w:r>
      <w:r w:rsidR="00384195">
        <w:t>.</w:t>
      </w:r>
      <w:r w:rsidR="005B2C66" w:rsidRPr="005B2C66">
        <w:t xml:space="preserve"> </w:t>
      </w:r>
    </w:p>
    <w:p w:rsidR="005B2C66" w:rsidRDefault="005B2C66" w:rsidP="00E377A8">
      <w:pPr>
        <w:spacing w:after="240" w:line="240" w:lineRule="auto"/>
      </w:pPr>
      <w:r w:rsidRPr="005B2C66">
        <w:t xml:space="preserve">Similar to the </w:t>
      </w:r>
      <w:r w:rsidR="00384195">
        <w:t xml:space="preserve">performance of the </w:t>
      </w:r>
      <w:r w:rsidRPr="005B2C66">
        <w:t>pre-roll</w:t>
      </w:r>
      <w:r w:rsidR="00A6020D">
        <w:t xml:space="preserve"> video</w:t>
      </w:r>
      <w:r w:rsidRPr="005B2C66">
        <w:t xml:space="preserve">, </w:t>
      </w:r>
      <w:r w:rsidR="00384195">
        <w:t xml:space="preserve">diagnostically </w:t>
      </w:r>
      <w:r w:rsidRPr="005B2C66">
        <w:t xml:space="preserve">these executions are </w:t>
      </w:r>
      <w:r w:rsidR="00384195">
        <w:t>perceived as easy to understand,</w:t>
      </w:r>
      <w:r w:rsidRPr="005B2C66">
        <w:t xml:space="preserve"> </w:t>
      </w:r>
      <w:r w:rsidR="00384195">
        <w:t>simple advertising</w:t>
      </w:r>
      <w:r w:rsidR="0013418C">
        <w:t xml:space="preserve">, </w:t>
      </w:r>
      <w:r w:rsidR="00914C18">
        <w:t xml:space="preserve">but </w:t>
      </w:r>
      <w:r w:rsidR="0013418C">
        <w:t>not strong for grabbing people’s attention.</w:t>
      </w:r>
      <w:r w:rsidRPr="005B2C66">
        <w:t xml:space="preserve"> Those who </w:t>
      </w:r>
      <w:r w:rsidR="009C6ECE">
        <w:t xml:space="preserve">had seen at least </w:t>
      </w:r>
      <w:r w:rsidR="00384195">
        <w:t xml:space="preserve">one of the </w:t>
      </w:r>
      <w:r w:rsidRPr="005B2C66">
        <w:t>ad</w:t>
      </w:r>
      <w:r w:rsidR="00384195">
        <w:t>s</w:t>
      </w:r>
      <w:r w:rsidRPr="005B2C66">
        <w:t xml:space="preserve"> </w:t>
      </w:r>
      <w:r w:rsidR="00384195">
        <w:t>prior to the survey</w:t>
      </w:r>
      <w:r w:rsidR="00384195" w:rsidRPr="005B2C66">
        <w:t xml:space="preserve"> </w:t>
      </w:r>
      <w:r w:rsidRPr="005B2C66">
        <w:t xml:space="preserve">have </w:t>
      </w:r>
      <w:r w:rsidR="00384195">
        <w:t xml:space="preserve">a higher level of </w:t>
      </w:r>
      <w:r w:rsidR="005550C7">
        <w:t xml:space="preserve">agreement </w:t>
      </w:r>
      <w:r w:rsidR="00384195">
        <w:t>with the decision making statements such as</w:t>
      </w:r>
      <w:r w:rsidR="009C6ECE">
        <w:t xml:space="preserve"> that the ad</w:t>
      </w:r>
      <w:r w:rsidR="00384195">
        <w:t xml:space="preserve"> ‘Helps me make decisions about which food to buy’ (46% vs. 35%</w:t>
      </w:r>
      <w:r w:rsidR="009C6ECE">
        <w:t xml:space="preserve"> amongst total sample</w:t>
      </w:r>
      <w:r w:rsidR="00384195">
        <w:t>)</w:t>
      </w:r>
      <w:r w:rsidR="009C6ECE">
        <w:t>.</w:t>
      </w:r>
      <w:r w:rsidR="009454F7">
        <w:t xml:space="preserve"> </w:t>
      </w:r>
      <w:r w:rsidR="00EF0FC5">
        <w:t xml:space="preserve"> Agreement</w:t>
      </w:r>
      <w:r w:rsidR="00384195">
        <w:t xml:space="preserve"> with the statement ‘I believe what it says’ </w:t>
      </w:r>
      <w:r w:rsidR="00EF0FC5">
        <w:t>is</w:t>
      </w:r>
      <w:r w:rsidR="00384195">
        <w:t xml:space="preserve"> </w:t>
      </w:r>
      <w:r w:rsidR="00EF0FC5">
        <w:t xml:space="preserve">also </w:t>
      </w:r>
      <w:r w:rsidR="00384195">
        <w:t xml:space="preserve">significantly higher </w:t>
      </w:r>
      <w:r w:rsidR="009C6ECE">
        <w:t xml:space="preserve">for those who had previously seen the ads </w:t>
      </w:r>
      <w:r w:rsidR="00384195">
        <w:t>(37% vs. 27%</w:t>
      </w:r>
      <w:r w:rsidR="009C6ECE">
        <w:t xml:space="preserve"> amongst total sample</w:t>
      </w:r>
      <w:r w:rsidR="00384195">
        <w:t>)</w:t>
      </w:r>
      <w:r>
        <w:t>.</w:t>
      </w:r>
    </w:p>
    <w:p w:rsidR="009C6ECE" w:rsidRDefault="009C6ECE" w:rsidP="00E377A8">
      <w:pPr>
        <w:spacing w:after="240" w:line="240" w:lineRule="auto"/>
      </w:pPr>
      <w:r>
        <w:t xml:space="preserve">Figure 11 presents these results in detail. </w:t>
      </w:r>
    </w:p>
    <w:p w:rsidR="005B2C66" w:rsidRDefault="005B2C66" w:rsidP="00DA6F0E">
      <w:pPr>
        <w:pStyle w:val="Caption"/>
        <w:keepNext/>
      </w:pPr>
      <w:r>
        <w:lastRenderedPageBreak/>
        <w:t xml:space="preserve">Figure </w:t>
      </w:r>
      <w:r w:rsidR="009D5B09">
        <w:t>11</w:t>
      </w:r>
      <w:r w:rsidR="00BE6346">
        <w:t xml:space="preserve"> - </w:t>
      </w:r>
      <w:r w:rsidR="00BE6346" w:rsidRPr="00BE6346">
        <w:t>Which of these statements describe how you feel about the advertising?</w:t>
      </w:r>
      <w:r w:rsidR="00FF4F41">
        <w:t xml:space="preserve"> (Select all that apply)</w:t>
      </w:r>
      <w:r w:rsidR="00BE6346" w:rsidRPr="00BE6346">
        <w:t xml:space="preserve"> </w:t>
      </w:r>
      <w:r w:rsidR="00FF4F41">
        <w:t>OOH/</w:t>
      </w:r>
      <w:r w:rsidR="000541C7">
        <w:t>Print Executions</w:t>
      </w:r>
    </w:p>
    <w:p w:rsidR="005B2C66" w:rsidRDefault="005B2C66">
      <w:pPr>
        <w:spacing w:after="0" w:line="240" w:lineRule="auto"/>
      </w:pPr>
      <w:r w:rsidRPr="005B2C66">
        <w:rPr>
          <w:noProof/>
          <w:lang w:eastAsia="en-AU"/>
        </w:rPr>
        <w:drawing>
          <wp:inline distT="0" distB="0" distL="0" distR="0" wp14:anchorId="6473D230" wp14:editId="4A536D2E">
            <wp:extent cx="5276850" cy="6238875"/>
            <wp:effectExtent l="0" t="0" r="19050" b="9525"/>
            <wp:docPr id="33" name="Chart 33" descr="Figure 11 is a horizontal bar chart shows how respondents feel about the print/OOH advertisements through a selection of statements. The results are discussed in the paragraph preceding the chart. &#10;The following detailed results compare the total proportion of respondents with the proportion who have seen (any of) the print/OOH ads respectively: It is easy to understand – 45% vs 44%; Makes its point in a simple way - 42% vs 44%; It is informative - 41% vs 41%; Helps me think about the healthiness of food - 38% vs 42%; Helps me make decisions about which foods to buy - 35% vs 46%; It tells me something new - 32% vs 30%; It is aimed at someone like me - 29% vs 34%; I believe what it says - 27% vs 37%; It really grabs your attention - 19% vs 26%;  It makes its point in a clever way - 19% vs 27%; It just washed over me - 18% vs 16%; It's boring - 15% vs 14%; It's irritating - 8% vs 11%; and None of these - 16% vs 17%.&#10;" title="Figure 11 - Which of these statements describe how you feel about the advertising? for OOH/Print Execu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B2C66" w:rsidRPr="00BE6346" w:rsidRDefault="00BE6346">
      <w:pPr>
        <w:spacing w:after="0" w:line="240" w:lineRule="auto"/>
        <w:rPr>
          <w:sz w:val="20"/>
          <w:szCs w:val="20"/>
        </w:rPr>
      </w:pPr>
      <w:r w:rsidRPr="00BE6346">
        <w:rPr>
          <w:sz w:val="20"/>
          <w:szCs w:val="20"/>
        </w:rPr>
        <w:t>Base: All respondents (n=1000).</w:t>
      </w:r>
    </w:p>
    <w:p w:rsidR="005B2C66" w:rsidRDefault="005B2C66">
      <w:pPr>
        <w:spacing w:after="0" w:line="240" w:lineRule="auto"/>
      </w:pPr>
    </w:p>
    <w:p w:rsidR="005B2A87" w:rsidRDefault="005B2A87">
      <w:pPr>
        <w:spacing w:after="0" w:line="240" w:lineRule="auto"/>
        <w:rPr>
          <w:rFonts w:cs="Arial"/>
          <w:bCs/>
          <w:iCs/>
          <w:noProof/>
          <w:color w:val="000000" w:themeColor="text1"/>
          <w:sz w:val="28"/>
          <w:szCs w:val="28"/>
          <w:lang w:eastAsia="en-AU"/>
        </w:rPr>
      </w:pPr>
      <w:r>
        <w:rPr>
          <w:noProof/>
          <w:lang w:eastAsia="en-AU"/>
        </w:rPr>
        <w:br w:type="page"/>
      </w:r>
    </w:p>
    <w:p w:rsidR="00384195" w:rsidRPr="00EE2A31" w:rsidRDefault="00384195" w:rsidP="00E955D6">
      <w:pPr>
        <w:pStyle w:val="Heading2"/>
      </w:pPr>
      <w:bookmarkStart w:id="25" w:name="_Toc435088771"/>
      <w:r w:rsidRPr="00EE2A31">
        <w:rPr>
          <w:noProof/>
          <w:lang w:eastAsia="en-AU"/>
        </w:rPr>
        <w:lastRenderedPageBreak/>
        <w:t xml:space="preserve">Online </w:t>
      </w:r>
      <w:r w:rsidR="000F3CB9" w:rsidRPr="00EE2A31">
        <w:rPr>
          <w:noProof/>
          <w:lang w:eastAsia="en-AU"/>
        </w:rPr>
        <w:t>advertising</w:t>
      </w:r>
      <w:bookmarkEnd w:id="25"/>
    </w:p>
    <w:p w:rsidR="005B2C66" w:rsidRDefault="005B2C66" w:rsidP="00384195">
      <w:pPr>
        <w:spacing w:after="0" w:line="240" w:lineRule="auto"/>
      </w:pPr>
      <w:r w:rsidRPr="005B2C66">
        <w:t xml:space="preserve">Few recall the online advertising, </w:t>
      </w:r>
      <w:r w:rsidR="00384195">
        <w:t>w</w:t>
      </w:r>
      <w:r w:rsidR="00EF0FC5">
        <w:t xml:space="preserve">ith recognition of </w:t>
      </w:r>
      <w:r w:rsidR="009C6ECE">
        <w:t>this component</w:t>
      </w:r>
      <w:r w:rsidR="00EF0FC5">
        <w:t xml:space="preserve"> at 7%. H</w:t>
      </w:r>
      <w:r w:rsidR="00384195">
        <w:t>owever</w:t>
      </w:r>
      <w:r w:rsidR="00EF0FC5">
        <w:t>,</w:t>
      </w:r>
      <w:r w:rsidR="00384195">
        <w:t xml:space="preserve"> this </w:t>
      </w:r>
      <w:r w:rsidRPr="005B2C66">
        <w:t xml:space="preserve">is not a key concern, as </w:t>
      </w:r>
      <w:r w:rsidR="00384195">
        <w:t xml:space="preserve">the goal of </w:t>
      </w:r>
      <w:r w:rsidRPr="005B2C66">
        <w:t xml:space="preserve">online </w:t>
      </w:r>
      <w:r w:rsidR="00384195">
        <w:t xml:space="preserve">advertising </w:t>
      </w:r>
      <w:r w:rsidRPr="005B2C66">
        <w:t xml:space="preserve">should </w:t>
      </w:r>
      <w:r w:rsidR="00384195">
        <w:t>focus more on driving</w:t>
      </w:r>
      <w:r w:rsidRPr="005B2C66">
        <w:t xml:space="preserve"> interest and research</w:t>
      </w:r>
      <w:r w:rsidR="00384195">
        <w:t xml:space="preserve"> in a product/brand or system</w:t>
      </w:r>
      <w:r w:rsidRPr="005B2C66">
        <w:t xml:space="preserve">, rather than </w:t>
      </w:r>
      <w:r w:rsidR="00384195">
        <w:t xml:space="preserve">driving campaign </w:t>
      </w:r>
      <w:r w:rsidRPr="005B2C66">
        <w:t xml:space="preserve">recall. </w:t>
      </w:r>
      <w:r w:rsidR="00384195">
        <w:t>Similarly, m</w:t>
      </w:r>
      <w:r w:rsidRPr="005B2C66">
        <w:t>ost cannot re</w:t>
      </w:r>
      <w:r w:rsidR="00384195">
        <w:t xml:space="preserve">member where they saw the ad – </w:t>
      </w:r>
      <w:r w:rsidRPr="005B2C66">
        <w:t xml:space="preserve">perhaps due to </w:t>
      </w:r>
      <w:r w:rsidR="00384195">
        <w:t xml:space="preserve">the </w:t>
      </w:r>
      <w:r w:rsidR="00EB310B">
        <w:t xml:space="preserve">multiple </w:t>
      </w:r>
      <w:r w:rsidR="00086DB1">
        <w:t xml:space="preserve">online platforms utilised </w:t>
      </w:r>
      <w:r w:rsidR="00EB310B">
        <w:t>for ad placement</w:t>
      </w:r>
      <w:r w:rsidR="009C6ECE">
        <w:t>,</w:t>
      </w:r>
      <w:r w:rsidR="00EB310B">
        <w:t xml:space="preserve"> </w:t>
      </w:r>
      <w:r w:rsidRPr="005B2C66">
        <w:t xml:space="preserve">and seeing </w:t>
      </w:r>
      <w:r w:rsidR="00EF0FC5">
        <w:t xml:space="preserve">it </w:t>
      </w:r>
      <w:r w:rsidRPr="005B2C66">
        <w:t>across multiple websites</w:t>
      </w:r>
      <w:r w:rsidR="00384195">
        <w:t>.</w:t>
      </w:r>
    </w:p>
    <w:p w:rsidR="00384195" w:rsidRPr="005B2C66" w:rsidRDefault="00384195" w:rsidP="00384195">
      <w:pPr>
        <w:spacing w:after="0" w:line="240" w:lineRule="auto"/>
      </w:pPr>
    </w:p>
    <w:p w:rsidR="005B2C66" w:rsidRPr="00270839" w:rsidRDefault="005B2C66" w:rsidP="00342087">
      <w:pPr>
        <w:pStyle w:val="Caption"/>
      </w:pPr>
      <w:r w:rsidRPr="00270839">
        <w:t>Table 4 – Coded responses to “</w:t>
      </w:r>
      <w:r w:rsidR="00157A8B">
        <w:t>On what website did you see these ads?</w:t>
      </w:r>
    </w:p>
    <w:tbl>
      <w:tblPr>
        <w:tblW w:w="7103" w:type="dxa"/>
        <w:tblCellMar>
          <w:left w:w="0" w:type="dxa"/>
          <w:right w:w="0" w:type="dxa"/>
        </w:tblCellMar>
        <w:tblLook w:val="0420" w:firstRow="1" w:lastRow="0" w:firstColumn="0" w:lastColumn="0" w:noHBand="0" w:noVBand="1"/>
      </w:tblPr>
      <w:tblGrid>
        <w:gridCol w:w="2850"/>
        <w:gridCol w:w="4253"/>
      </w:tblGrid>
      <w:tr w:rsidR="005B2C66" w:rsidRPr="005B2C66" w:rsidTr="00E6724B">
        <w:trPr>
          <w:trHeight w:val="227"/>
        </w:trPr>
        <w:tc>
          <w:tcPr>
            <w:tcW w:w="2850" w:type="dxa"/>
            <w:tcBorders>
              <w:top w:val="nil"/>
              <w:left w:val="nil"/>
              <w:bottom w:val="single" w:sz="4" w:space="0" w:color="auto"/>
              <w:right w:val="nil"/>
            </w:tcBorders>
            <w:shd w:val="clear" w:color="auto" w:fill="auto"/>
            <w:tcMar>
              <w:top w:w="72" w:type="dxa"/>
              <w:left w:w="15" w:type="dxa"/>
              <w:bottom w:w="72" w:type="dxa"/>
              <w:right w:w="144" w:type="dxa"/>
            </w:tcMar>
            <w:vAlign w:val="center"/>
            <w:hideMark/>
          </w:tcPr>
          <w:p w:rsidR="00ED176A" w:rsidRPr="005B2C66" w:rsidRDefault="00BE74A9" w:rsidP="005B2C66">
            <w:pPr>
              <w:spacing w:after="0" w:line="240" w:lineRule="auto"/>
            </w:pPr>
            <w:bookmarkStart w:id="26" w:name="_GoBack" w:colFirst="0" w:colLast="2"/>
            <w:r>
              <w:t>Coded Response</w:t>
            </w:r>
          </w:p>
        </w:tc>
        <w:tc>
          <w:tcPr>
            <w:tcW w:w="4253" w:type="dxa"/>
            <w:tcBorders>
              <w:top w:val="nil"/>
              <w:left w:val="nil"/>
              <w:bottom w:val="single" w:sz="4" w:space="0" w:color="auto"/>
              <w:right w:val="nil"/>
            </w:tcBorders>
            <w:shd w:val="clear" w:color="auto" w:fill="auto"/>
            <w:tcMar>
              <w:top w:w="72" w:type="dxa"/>
              <w:left w:w="144" w:type="dxa"/>
              <w:bottom w:w="72" w:type="dxa"/>
              <w:right w:w="144" w:type="dxa"/>
            </w:tcMar>
            <w:vAlign w:val="center"/>
            <w:hideMark/>
          </w:tcPr>
          <w:p w:rsidR="00ED176A" w:rsidRPr="005B2C66" w:rsidRDefault="005B2C66" w:rsidP="00157A8B">
            <w:pPr>
              <w:spacing w:after="0" w:line="240" w:lineRule="auto"/>
              <w:jc w:val="center"/>
            </w:pPr>
            <w:r w:rsidRPr="005B2C66">
              <w:t>Seen online ad</w:t>
            </w:r>
          </w:p>
        </w:tc>
      </w:tr>
      <w:tr w:rsidR="005B2C66" w:rsidRPr="005B2C66" w:rsidTr="00E6724B">
        <w:trPr>
          <w:trHeight w:val="397"/>
        </w:trPr>
        <w:tc>
          <w:tcPr>
            <w:tcW w:w="2850" w:type="dxa"/>
            <w:tcBorders>
              <w:top w:val="single" w:sz="4" w:space="0" w:color="auto"/>
              <w:left w:val="nil"/>
              <w:bottom w:val="nil"/>
              <w:right w:val="nil"/>
            </w:tcBorders>
            <w:shd w:val="clear" w:color="auto" w:fill="FFF6D7"/>
            <w:tcMar>
              <w:top w:w="15" w:type="dxa"/>
              <w:left w:w="15" w:type="dxa"/>
              <w:bottom w:w="0" w:type="dxa"/>
              <w:right w:w="15" w:type="dxa"/>
            </w:tcMar>
            <w:vAlign w:val="center"/>
            <w:hideMark/>
          </w:tcPr>
          <w:p w:rsidR="00ED176A" w:rsidRPr="00E6724B" w:rsidRDefault="005B2C66" w:rsidP="005B2C66">
            <w:pPr>
              <w:spacing w:after="0" w:line="240" w:lineRule="auto"/>
            </w:pPr>
            <w:r w:rsidRPr="00E6724B">
              <w:t>Don’t know</w:t>
            </w:r>
          </w:p>
        </w:tc>
        <w:tc>
          <w:tcPr>
            <w:tcW w:w="4253" w:type="dxa"/>
            <w:tcBorders>
              <w:top w:val="single" w:sz="4" w:space="0" w:color="auto"/>
              <w:left w:val="nil"/>
              <w:bottom w:val="nil"/>
              <w:right w:val="nil"/>
            </w:tcBorders>
            <w:shd w:val="clear" w:color="auto" w:fill="FFF6D7"/>
            <w:tcMar>
              <w:top w:w="15" w:type="dxa"/>
              <w:left w:w="15" w:type="dxa"/>
              <w:bottom w:w="0" w:type="dxa"/>
              <w:right w:w="15" w:type="dxa"/>
            </w:tcMar>
            <w:vAlign w:val="center"/>
            <w:hideMark/>
          </w:tcPr>
          <w:p w:rsidR="00ED176A" w:rsidRPr="00E6724B" w:rsidRDefault="005B2C66" w:rsidP="00157A8B">
            <w:pPr>
              <w:spacing w:after="0" w:line="240" w:lineRule="auto"/>
              <w:jc w:val="center"/>
            </w:pPr>
            <w:r w:rsidRPr="00E6724B">
              <w:t>65%</w:t>
            </w:r>
          </w:p>
        </w:tc>
      </w:tr>
      <w:tr w:rsidR="005B2C66" w:rsidRPr="005B2C66" w:rsidTr="00E6724B">
        <w:trPr>
          <w:trHeight w:val="397"/>
        </w:trPr>
        <w:tc>
          <w:tcPr>
            <w:tcW w:w="2850" w:type="dxa"/>
            <w:tcBorders>
              <w:top w:val="nil"/>
              <w:left w:val="nil"/>
              <w:bottom w:val="nil"/>
              <w:right w:val="nil"/>
            </w:tcBorders>
            <w:shd w:val="clear" w:color="auto" w:fill="auto"/>
            <w:tcMar>
              <w:top w:w="15" w:type="dxa"/>
              <w:left w:w="15" w:type="dxa"/>
              <w:bottom w:w="0" w:type="dxa"/>
              <w:right w:w="15" w:type="dxa"/>
            </w:tcMar>
            <w:vAlign w:val="bottom"/>
            <w:hideMark/>
          </w:tcPr>
          <w:p w:rsidR="00ED176A" w:rsidRPr="005B2C66" w:rsidRDefault="005B2C66" w:rsidP="005B2C66">
            <w:pPr>
              <w:spacing w:after="0" w:line="240" w:lineRule="auto"/>
            </w:pPr>
            <w:r w:rsidRPr="005B2C66">
              <w:t>Food website</w:t>
            </w:r>
          </w:p>
        </w:tc>
        <w:tc>
          <w:tcPr>
            <w:tcW w:w="4253" w:type="dxa"/>
            <w:tcBorders>
              <w:top w:val="nil"/>
              <w:left w:val="nil"/>
              <w:bottom w:val="nil"/>
              <w:right w:val="nil"/>
            </w:tcBorders>
            <w:shd w:val="clear" w:color="auto" w:fill="auto"/>
            <w:tcMar>
              <w:top w:w="15" w:type="dxa"/>
              <w:left w:w="15" w:type="dxa"/>
              <w:bottom w:w="0" w:type="dxa"/>
              <w:right w:w="15" w:type="dxa"/>
            </w:tcMar>
            <w:vAlign w:val="bottom"/>
            <w:hideMark/>
          </w:tcPr>
          <w:p w:rsidR="00ED176A" w:rsidRPr="005B2C66" w:rsidRDefault="005B2C66" w:rsidP="00157A8B">
            <w:pPr>
              <w:spacing w:after="0" w:line="240" w:lineRule="auto"/>
              <w:jc w:val="center"/>
            </w:pPr>
            <w:r w:rsidRPr="005B2C66">
              <w:t>12%</w:t>
            </w:r>
          </w:p>
        </w:tc>
      </w:tr>
      <w:tr w:rsidR="005B2C66" w:rsidRPr="005B2C66" w:rsidTr="00E6724B">
        <w:trPr>
          <w:trHeight w:val="397"/>
        </w:trPr>
        <w:tc>
          <w:tcPr>
            <w:tcW w:w="2850" w:type="dxa"/>
            <w:tcBorders>
              <w:top w:val="nil"/>
              <w:left w:val="nil"/>
              <w:bottom w:val="nil"/>
              <w:right w:val="nil"/>
            </w:tcBorders>
            <w:shd w:val="clear" w:color="auto" w:fill="auto"/>
            <w:tcMar>
              <w:top w:w="15" w:type="dxa"/>
              <w:left w:w="15" w:type="dxa"/>
              <w:bottom w:w="0" w:type="dxa"/>
              <w:right w:w="15" w:type="dxa"/>
            </w:tcMar>
            <w:vAlign w:val="bottom"/>
            <w:hideMark/>
          </w:tcPr>
          <w:p w:rsidR="00ED176A" w:rsidRPr="005B2C66" w:rsidRDefault="005B2C66" w:rsidP="005B2C66">
            <w:pPr>
              <w:spacing w:after="0" w:line="240" w:lineRule="auto"/>
            </w:pPr>
            <w:r w:rsidRPr="005B2C66">
              <w:t>Government website</w:t>
            </w:r>
          </w:p>
        </w:tc>
        <w:tc>
          <w:tcPr>
            <w:tcW w:w="4253" w:type="dxa"/>
            <w:tcBorders>
              <w:top w:val="nil"/>
              <w:left w:val="nil"/>
              <w:bottom w:val="nil"/>
              <w:right w:val="nil"/>
            </w:tcBorders>
            <w:shd w:val="clear" w:color="auto" w:fill="auto"/>
            <w:tcMar>
              <w:top w:w="15" w:type="dxa"/>
              <w:left w:w="15" w:type="dxa"/>
              <w:bottom w:w="0" w:type="dxa"/>
              <w:right w:w="15" w:type="dxa"/>
            </w:tcMar>
            <w:vAlign w:val="bottom"/>
            <w:hideMark/>
          </w:tcPr>
          <w:p w:rsidR="00ED176A" w:rsidRPr="005B2C66" w:rsidRDefault="005B2C66" w:rsidP="00157A8B">
            <w:pPr>
              <w:spacing w:after="0" w:line="240" w:lineRule="auto"/>
              <w:jc w:val="center"/>
            </w:pPr>
            <w:r w:rsidRPr="005B2C66">
              <w:t>12%</w:t>
            </w:r>
          </w:p>
        </w:tc>
      </w:tr>
      <w:tr w:rsidR="005B2C66" w:rsidRPr="005B2C66" w:rsidTr="00E6724B">
        <w:trPr>
          <w:trHeight w:val="397"/>
        </w:trPr>
        <w:tc>
          <w:tcPr>
            <w:tcW w:w="2850" w:type="dxa"/>
            <w:tcBorders>
              <w:top w:val="nil"/>
              <w:left w:val="nil"/>
              <w:bottom w:val="nil"/>
              <w:right w:val="nil"/>
            </w:tcBorders>
            <w:shd w:val="clear" w:color="auto" w:fill="auto"/>
            <w:tcMar>
              <w:top w:w="15" w:type="dxa"/>
              <w:left w:w="15" w:type="dxa"/>
              <w:bottom w:w="0" w:type="dxa"/>
              <w:right w:w="15" w:type="dxa"/>
            </w:tcMar>
            <w:vAlign w:val="bottom"/>
            <w:hideMark/>
          </w:tcPr>
          <w:p w:rsidR="00ED176A" w:rsidRPr="005B2C66" w:rsidRDefault="005B2C66" w:rsidP="005B2C66">
            <w:pPr>
              <w:spacing w:after="0" w:line="240" w:lineRule="auto"/>
            </w:pPr>
            <w:r w:rsidRPr="005B2C66">
              <w:t>Yahoo</w:t>
            </w:r>
          </w:p>
        </w:tc>
        <w:tc>
          <w:tcPr>
            <w:tcW w:w="4253" w:type="dxa"/>
            <w:tcBorders>
              <w:top w:val="nil"/>
              <w:left w:val="nil"/>
              <w:bottom w:val="nil"/>
              <w:right w:val="nil"/>
            </w:tcBorders>
            <w:shd w:val="clear" w:color="auto" w:fill="auto"/>
            <w:tcMar>
              <w:top w:w="15" w:type="dxa"/>
              <w:left w:w="15" w:type="dxa"/>
              <w:bottom w:w="0" w:type="dxa"/>
              <w:right w:w="15" w:type="dxa"/>
            </w:tcMar>
            <w:vAlign w:val="bottom"/>
            <w:hideMark/>
          </w:tcPr>
          <w:p w:rsidR="00ED176A" w:rsidRPr="005B2C66" w:rsidRDefault="005B2C66" w:rsidP="00157A8B">
            <w:pPr>
              <w:spacing w:after="0" w:line="240" w:lineRule="auto"/>
              <w:jc w:val="center"/>
            </w:pPr>
            <w:r w:rsidRPr="005B2C66">
              <w:t>10%</w:t>
            </w:r>
          </w:p>
        </w:tc>
      </w:tr>
      <w:tr w:rsidR="005B2C66" w:rsidRPr="005B2C66" w:rsidTr="00E6724B">
        <w:trPr>
          <w:trHeight w:val="397"/>
        </w:trPr>
        <w:tc>
          <w:tcPr>
            <w:tcW w:w="2850" w:type="dxa"/>
            <w:tcBorders>
              <w:top w:val="nil"/>
              <w:left w:val="nil"/>
              <w:bottom w:val="nil"/>
              <w:right w:val="nil"/>
            </w:tcBorders>
            <w:shd w:val="clear" w:color="auto" w:fill="auto"/>
            <w:tcMar>
              <w:top w:w="15" w:type="dxa"/>
              <w:left w:w="15" w:type="dxa"/>
              <w:bottom w:w="0" w:type="dxa"/>
              <w:right w:w="15" w:type="dxa"/>
            </w:tcMar>
            <w:vAlign w:val="bottom"/>
            <w:hideMark/>
          </w:tcPr>
          <w:p w:rsidR="00ED176A" w:rsidRPr="005B2C66" w:rsidRDefault="005B2C66" w:rsidP="005B2C66">
            <w:pPr>
              <w:spacing w:after="0" w:line="240" w:lineRule="auto"/>
            </w:pPr>
            <w:r w:rsidRPr="005B2C66">
              <w:t>Facebook</w:t>
            </w:r>
          </w:p>
        </w:tc>
        <w:tc>
          <w:tcPr>
            <w:tcW w:w="4253" w:type="dxa"/>
            <w:tcBorders>
              <w:top w:val="nil"/>
              <w:left w:val="nil"/>
              <w:bottom w:val="nil"/>
              <w:right w:val="nil"/>
            </w:tcBorders>
            <w:shd w:val="clear" w:color="auto" w:fill="auto"/>
            <w:tcMar>
              <w:top w:w="15" w:type="dxa"/>
              <w:left w:w="15" w:type="dxa"/>
              <w:bottom w:w="0" w:type="dxa"/>
              <w:right w:w="15" w:type="dxa"/>
            </w:tcMar>
            <w:vAlign w:val="bottom"/>
            <w:hideMark/>
          </w:tcPr>
          <w:p w:rsidR="00ED176A" w:rsidRPr="005B2C66" w:rsidRDefault="005B2C66" w:rsidP="00157A8B">
            <w:pPr>
              <w:spacing w:after="0" w:line="240" w:lineRule="auto"/>
              <w:jc w:val="center"/>
            </w:pPr>
            <w:r w:rsidRPr="005B2C66">
              <w:t>10%</w:t>
            </w:r>
          </w:p>
        </w:tc>
      </w:tr>
      <w:tr w:rsidR="005B2C66" w:rsidRPr="005B2C66" w:rsidTr="00E6724B">
        <w:trPr>
          <w:trHeight w:val="442"/>
        </w:trPr>
        <w:tc>
          <w:tcPr>
            <w:tcW w:w="2850" w:type="dxa"/>
            <w:tcBorders>
              <w:top w:val="nil"/>
              <w:left w:val="nil"/>
              <w:bottom w:val="nil"/>
              <w:right w:val="nil"/>
            </w:tcBorders>
            <w:shd w:val="clear" w:color="auto" w:fill="auto"/>
            <w:tcMar>
              <w:top w:w="15" w:type="dxa"/>
              <w:left w:w="15" w:type="dxa"/>
              <w:bottom w:w="0" w:type="dxa"/>
              <w:right w:w="15" w:type="dxa"/>
            </w:tcMar>
            <w:vAlign w:val="bottom"/>
            <w:hideMark/>
          </w:tcPr>
          <w:p w:rsidR="00ED176A" w:rsidRPr="000541C7" w:rsidRDefault="005253B9" w:rsidP="005B2C66">
            <w:pPr>
              <w:spacing w:after="0" w:line="240" w:lineRule="auto"/>
              <w:rPr>
                <w:i/>
              </w:rPr>
            </w:pPr>
            <w:r w:rsidRPr="000541C7">
              <w:rPr>
                <w:i/>
              </w:rPr>
              <w:t>A major supermarket</w:t>
            </w:r>
          </w:p>
        </w:tc>
        <w:tc>
          <w:tcPr>
            <w:tcW w:w="4253" w:type="dxa"/>
            <w:tcBorders>
              <w:top w:val="nil"/>
              <w:left w:val="nil"/>
              <w:bottom w:val="nil"/>
              <w:right w:val="nil"/>
            </w:tcBorders>
            <w:shd w:val="clear" w:color="auto" w:fill="auto"/>
            <w:tcMar>
              <w:top w:w="15" w:type="dxa"/>
              <w:left w:w="15" w:type="dxa"/>
              <w:bottom w:w="0" w:type="dxa"/>
              <w:right w:w="15" w:type="dxa"/>
            </w:tcMar>
            <w:vAlign w:val="bottom"/>
            <w:hideMark/>
          </w:tcPr>
          <w:p w:rsidR="00ED176A" w:rsidRPr="005B2C66" w:rsidRDefault="005B2C66" w:rsidP="00157A8B">
            <w:pPr>
              <w:spacing w:after="0" w:line="240" w:lineRule="auto"/>
              <w:jc w:val="center"/>
            </w:pPr>
            <w:r w:rsidRPr="005B2C66">
              <w:t>10%</w:t>
            </w:r>
          </w:p>
        </w:tc>
      </w:tr>
      <w:tr w:rsidR="005B2C66" w:rsidRPr="005B2C66" w:rsidTr="00E6724B">
        <w:trPr>
          <w:trHeight w:val="397"/>
        </w:trPr>
        <w:tc>
          <w:tcPr>
            <w:tcW w:w="2850" w:type="dxa"/>
            <w:tcBorders>
              <w:top w:val="nil"/>
              <w:left w:val="nil"/>
              <w:bottom w:val="nil"/>
              <w:right w:val="nil"/>
            </w:tcBorders>
            <w:shd w:val="clear" w:color="auto" w:fill="auto"/>
            <w:tcMar>
              <w:top w:w="15" w:type="dxa"/>
              <w:left w:w="15" w:type="dxa"/>
              <w:bottom w:w="0" w:type="dxa"/>
              <w:right w:w="15" w:type="dxa"/>
            </w:tcMar>
            <w:vAlign w:val="bottom"/>
            <w:hideMark/>
          </w:tcPr>
          <w:p w:rsidR="00ED176A" w:rsidRPr="005B2C66" w:rsidRDefault="005B2C66" w:rsidP="005B2C66">
            <w:pPr>
              <w:spacing w:after="0" w:line="240" w:lineRule="auto"/>
            </w:pPr>
            <w:r w:rsidRPr="005B2C66">
              <w:t>Google</w:t>
            </w:r>
          </w:p>
        </w:tc>
        <w:tc>
          <w:tcPr>
            <w:tcW w:w="4253" w:type="dxa"/>
            <w:tcBorders>
              <w:top w:val="nil"/>
              <w:left w:val="nil"/>
              <w:bottom w:val="nil"/>
              <w:right w:val="nil"/>
            </w:tcBorders>
            <w:shd w:val="clear" w:color="auto" w:fill="auto"/>
            <w:tcMar>
              <w:top w:w="15" w:type="dxa"/>
              <w:left w:w="15" w:type="dxa"/>
              <w:bottom w:w="0" w:type="dxa"/>
              <w:right w:w="15" w:type="dxa"/>
            </w:tcMar>
            <w:vAlign w:val="bottom"/>
            <w:hideMark/>
          </w:tcPr>
          <w:p w:rsidR="00ED176A" w:rsidRPr="005B2C66" w:rsidRDefault="005B2C66" w:rsidP="00157A8B">
            <w:pPr>
              <w:spacing w:after="0" w:line="240" w:lineRule="auto"/>
              <w:jc w:val="center"/>
            </w:pPr>
            <w:r w:rsidRPr="005B2C66">
              <w:t>8%</w:t>
            </w:r>
          </w:p>
        </w:tc>
      </w:tr>
      <w:tr w:rsidR="005B2C66" w:rsidRPr="005B2C66" w:rsidTr="00E6724B">
        <w:trPr>
          <w:trHeight w:val="397"/>
        </w:trPr>
        <w:tc>
          <w:tcPr>
            <w:tcW w:w="2850" w:type="dxa"/>
            <w:tcBorders>
              <w:top w:val="nil"/>
              <w:left w:val="nil"/>
              <w:bottom w:val="nil"/>
              <w:right w:val="nil"/>
            </w:tcBorders>
            <w:shd w:val="clear" w:color="auto" w:fill="auto"/>
            <w:tcMar>
              <w:top w:w="15" w:type="dxa"/>
              <w:left w:w="15" w:type="dxa"/>
              <w:bottom w:w="0" w:type="dxa"/>
              <w:right w:w="15" w:type="dxa"/>
            </w:tcMar>
            <w:vAlign w:val="bottom"/>
            <w:hideMark/>
          </w:tcPr>
          <w:p w:rsidR="00ED176A" w:rsidRPr="005B2C66" w:rsidRDefault="00EE4F51" w:rsidP="005B2C66">
            <w:pPr>
              <w:spacing w:after="0" w:line="240" w:lineRule="auto"/>
            </w:pPr>
            <w:r w:rsidRPr="005B2C66">
              <w:t>YouTube</w:t>
            </w:r>
          </w:p>
        </w:tc>
        <w:tc>
          <w:tcPr>
            <w:tcW w:w="4253" w:type="dxa"/>
            <w:tcBorders>
              <w:top w:val="nil"/>
              <w:left w:val="nil"/>
              <w:bottom w:val="nil"/>
              <w:right w:val="nil"/>
            </w:tcBorders>
            <w:shd w:val="clear" w:color="auto" w:fill="auto"/>
            <w:tcMar>
              <w:top w:w="15" w:type="dxa"/>
              <w:left w:w="15" w:type="dxa"/>
              <w:bottom w:w="0" w:type="dxa"/>
              <w:right w:w="15" w:type="dxa"/>
            </w:tcMar>
            <w:vAlign w:val="bottom"/>
            <w:hideMark/>
          </w:tcPr>
          <w:p w:rsidR="00ED176A" w:rsidRPr="005B2C66" w:rsidRDefault="005B2C66" w:rsidP="00157A8B">
            <w:pPr>
              <w:spacing w:after="0" w:line="240" w:lineRule="auto"/>
              <w:jc w:val="center"/>
            </w:pPr>
            <w:r w:rsidRPr="005B2C66">
              <w:t>8%</w:t>
            </w:r>
          </w:p>
        </w:tc>
      </w:tr>
      <w:tr w:rsidR="005B2C66" w:rsidRPr="005B2C66" w:rsidTr="00E6724B">
        <w:trPr>
          <w:trHeight w:val="397"/>
        </w:trPr>
        <w:tc>
          <w:tcPr>
            <w:tcW w:w="2850" w:type="dxa"/>
            <w:tcBorders>
              <w:top w:val="nil"/>
              <w:left w:val="nil"/>
              <w:bottom w:val="nil"/>
              <w:right w:val="nil"/>
            </w:tcBorders>
            <w:shd w:val="clear" w:color="auto" w:fill="auto"/>
            <w:tcMar>
              <w:top w:w="15" w:type="dxa"/>
              <w:left w:w="15" w:type="dxa"/>
              <w:bottom w:w="0" w:type="dxa"/>
              <w:right w:w="15" w:type="dxa"/>
            </w:tcMar>
            <w:vAlign w:val="bottom"/>
            <w:hideMark/>
          </w:tcPr>
          <w:p w:rsidR="00ED176A" w:rsidRPr="005B2C66" w:rsidRDefault="005B2C66" w:rsidP="005B2C66">
            <w:pPr>
              <w:spacing w:after="0" w:line="240" w:lineRule="auto"/>
            </w:pPr>
            <w:r w:rsidRPr="005B2C66">
              <w:t>News website</w:t>
            </w:r>
          </w:p>
        </w:tc>
        <w:tc>
          <w:tcPr>
            <w:tcW w:w="4253" w:type="dxa"/>
            <w:tcBorders>
              <w:top w:val="nil"/>
              <w:left w:val="nil"/>
              <w:bottom w:val="nil"/>
              <w:right w:val="nil"/>
            </w:tcBorders>
            <w:shd w:val="clear" w:color="auto" w:fill="auto"/>
            <w:tcMar>
              <w:top w:w="15" w:type="dxa"/>
              <w:left w:w="15" w:type="dxa"/>
              <w:bottom w:w="0" w:type="dxa"/>
              <w:right w:w="15" w:type="dxa"/>
            </w:tcMar>
            <w:vAlign w:val="bottom"/>
            <w:hideMark/>
          </w:tcPr>
          <w:p w:rsidR="00ED176A" w:rsidRPr="005B2C66" w:rsidRDefault="005B2C66" w:rsidP="00157A8B">
            <w:pPr>
              <w:spacing w:after="0" w:line="240" w:lineRule="auto"/>
              <w:jc w:val="center"/>
            </w:pPr>
            <w:r w:rsidRPr="005B2C66">
              <w:t>5%</w:t>
            </w:r>
          </w:p>
        </w:tc>
      </w:tr>
      <w:tr w:rsidR="005B2C66" w:rsidRPr="005B2C66" w:rsidTr="00E6724B">
        <w:trPr>
          <w:trHeight w:val="397"/>
        </w:trPr>
        <w:tc>
          <w:tcPr>
            <w:tcW w:w="2850" w:type="dxa"/>
            <w:tcBorders>
              <w:top w:val="nil"/>
              <w:left w:val="nil"/>
              <w:bottom w:val="nil"/>
              <w:right w:val="nil"/>
            </w:tcBorders>
            <w:shd w:val="clear" w:color="auto" w:fill="auto"/>
            <w:tcMar>
              <w:top w:w="15" w:type="dxa"/>
              <w:left w:w="15" w:type="dxa"/>
              <w:bottom w:w="0" w:type="dxa"/>
              <w:right w:w="15" w:type="dxa"/>
            </w:tcMar>
            <w:vAlign w:val="bottom"/>
            <w:hideMark/>
          </w:tcPr>
          <w:p w:rsidR="00ED176A" w:rsidRPr="005B2C66" w:rsidRDefault="005B2C66" w:rsidP="005B2C66">
            <w:pPr>
              <w:spacing w:after="0" w:line="240" w:lineRule="auto"/>
            </w:pPr>
            <w:r w:rsidRPr="005B2C66">
              <w:t>Other</w:t>
            </w:r>
          </w:p>
        </w:tc>
        <w:tc>
          <w:tcPr>
            <w:tcW w:w="4253" w:type="dxa"/>
            <w:tcBorders>
              <w:top w:val="nil"/>
              <w:left w:val="nil"/>
              <w:bottom w:val="nil"/>
              <w:right w:val="nil"/>
            </w:tcBorders>
            <w:shd w:val="clear" w:color="auto" w:fill="auto"/>
            <w:tcMar>
              <w:top w:w="15" w:type="dxa"/>
              <w:left w:w="15" w:type="dxa"/>
              <w:bottom w:w="0" w:type="dxa"/>
              <w:right w:w="15" w:type="dxa"/>
            </w:tcMar>
            <w:vAlign w:val="bottom"/>
            <w:hideMark/>
          </w:tcPr>
          <w:p w:rsidR="00ED176A" w:rsidRPr="005B2C66" w:rsidRDefault="005B2C66" w:rsidP="00157A8B">
            <w:pPr>
              <w:spacing w:after="0" w:line="240" w:lineRule="auto"/>
              <w:jc w:val="center"/>
            </w:pPr>
            <w:r w:rsidRPr="005B2C66">
              <w:t>12%</w:t>
            </w:r>
          </w:p>
        </w:tc>
      </w:tr>
      <w:bookmarkEnd w:id="26"/>
    </w:tbl>
    <w:p w:rsidR="005B2C66" w:rsidRDefault="005B2C66">
      <w:pPr>
        <w:spacing w:after="0" w:line="240" w:lineRule="auto"/>
      </w:pPr>
    </w:p>
    <w:p w:rsidR="00BE6346" w:rsidRPr="00270839" w:rsidRDefault="00BE6346" w:rsidP="00270839">
      <w:pPr>
        <w:rPr>
          <w:sz w:val="20"/>
        </w:rPr>
      </w:pPr>
      <w:r w:rsidRPr="00270839">
        <w:rPr>
          <w:sz w:val="20"/>
        </w:rPr>
        <w:t>Base: Seen online ad (n=62).</w:t>
      </w:r>
      <w:r w:rsidR="001A775B">
        <w:rPr>
          <w:sz w:val="20"/>
        </w:rPr>
        <w:t xml:space="preserve"> </w:t>
      </w:r>
      <w:r w:rsidR="001A775B" w:rsidRPr="001A775B">
        <w:rPr>
          <w:sz w:val="20"/>
          <w:u w:val="single"/>
        </w:rPr>
        <w:t>NOTE: Small base size (less than n=100)</w:t>
      </w:r>
    </w:p>
    <w:p w:rsidR="00562D3F" w:rsidRPr="00562D3F" w:rsidRDefault="00562D3F" w:rsidP="00562D3F">
      <w:pPr>
        <w:pStyle w:val="Heading2"/>
      </w:pPr>
      <w:bookmarkStart w:id="27" w:name="_Toc435088772"/>
      <w:r>
        <w:t>Campaign Message</w:t>
      </w:r>
      <w:bookmarkEnd w:id="27"/>
    </w:p>
    <w:p w:rsidR="00C54B8C" w:rsidRDefault="00C54B8C" w:rsidP="00562D3F">
      <w:pPr>
        <w:spacing w:after="0" w:line="240" w:lineRule="auto"/>
        <w:rPr>
          <w:bCs/>
        </w:rPr>
      </w:pPr>
      <w:r>
        <w:rPr>
          <w:bCs/>
        </w:rPr>
        <w:t>When asked what the campaign communicates you should do, 84% of respondents agreed the campaign communicate</w:t>
      </w:r>
      <w:r w:rsidR="00BE74A9">
        <w:rPr>
          <w:bCs/>
        </w:rPr>
        <w:t>s</w:t>
      </w:r>
      <w:r>
        <w:rPr>
          <w:bCs/>
        </w:rPr>
        <w:t xml:space="preserve"> </w:t>
      </w:r>
      <w:r w:rsidR="00157A8B">
        <w:rPr>
          <w:bCs/>
        </w:rPr>
        <w:t>‘</w:t>
      </w:r>
      <w:r>
        <w:rPr>
          <w:bCs/>
        </w:rPr>
        <w:t>you should look for the HSR if you are buying packaged foods</w:t>
      </w:r>
      <w:r w:rsidR="00157A8B">
        <w:rPr>
          <w:bCs/>
        </w:rPr>
        <w:t>’</w:t>
      </w:r>
      <w:r w:rsidR="00A66F8E">
        <w:rPr>
          <w:bCs/>
        </w:rPr>
        <w:t xml:space="preserve">: </w:t>
      </w:r>
      <w:r w:rsidR="00EB310B">
        <w:rPr>
          <w:bCs/>
        </w:rPr>
        <w:t xml:space="preserve">84% agreed </w:t>
      </w:r>
      <w:r w:rsidR="00364A5D">
        <w:rPr>
          <w:bCs/>
        </w:rPr>
        <w:t>‘</w:t>
      </w:r>
      <w:r>
        <w:rPr>
          <w:bCs/>
        </w:rPr>
        <w:t>when buying packaged food the HSR can help guide healthier choices</w:t>
      </w:r>
      <w:r w:rsidR="00157A8B">
        <w:rPr>
          <w:bCs/>
        </w:rPr>
        <w:t>’</w:t>
      </w:r>
      <w:r w:rsidR="00A66F8E">
        <w:rPr>
          <w:bCs/>
        </w:rPr>
        <w:t>:</w:t>
      </w:r>
      <w:r>
        <w:rPr>
          <w:bCs/>
        </w:rPr>
        <w:t xml:space="preserve"> and 82% agreed you should </w:t>
      </w:r>
      <w:r w:rsidR="00157A8B">
        <w:rPr>
          <w:bCs/>
        </w:rPr>
        <w:t>‘</w:t>
      </w:r>
      <w:r>
        <w:rPr>
          <w:bCs/>
        </w:rPr>
        <w:t>compare the HSR on similar products</w:t>
      </w:r>
      <w:r w:rsidR="00157A8B">
        <w:rPr>
          <w:bCs/>
        </w:rPr>
        <w:t>’</w:t>
      </w:r>
      <w:r>
        <w:rPr>
          <w:bCs/>
        </w:rPr>
        <w:t xml:space="preserve">. </w:t>
      </w:r>
    </w:p>
    <w:p w:rsidR="00C54B8C" w:rsidRDefault="00C54B8C" w:rsidP="00562D3F">
      <w:pPr>
        <w:spacing w:after="0" w:line="240" w:lineRule="auto"/>
        <w:rPr>
          <w:bCs/>
        </w:rPr>
      </w:pPr>
    </w:p>
    <w:p w:rsidR="00562D3F" w:rsidRPr="00C54B8C" w:rsidRDefault="00C54B8C" w:rsidP="00562D3F">
      <w:pPr>
        <w:spacing w:after="0" w:line="240" w:lineRule="auto"/>
        <w:rPr>
          <w:bCs/>
        </w:rPr>
      </w:pPr>
      <w:r>
        <w:rPr>
          <w:bCs/>
        </w:rPr>
        <w:t xml:space="preserve">There was a small level of confusion regarding the campaign communication; with 15% agreeing the campaign communicates you should </w:t>
      </w:r>
      <w:r w:rsidR="00157A8B">
        <w:rPr>
          <w:bCs/>
        </w:rPr>
        <w:t>‘</w:t>
      </w:r>
      <w:r>
        <w:rPr>
          <w:bCs/>
        </w:rPr>
        <w:t>buy packaged foods instead of unpackaged foods</w:t>
      </w:r>
      <w:r w:rsidR="00157A8B">
        <w:rPr>
          <w:bCs/>
        </w:rPr>
        <w:t>’</w:t>
      </w:r>
      <w:r>
        <w:rPr>
          <w:bCs/>
        </w:rPr>
        <w:t xml:space="preserve">, and 13% agreeing you should </w:t>
      </w:r>
      <w:r w:rsidR="00157A8B">
        <w:rPr>
          <w:bCs/>
        </w:rPr>
        <w:t>‘</w:t>
      </w:r>
      <w:r>
        <w:rPr>
          <w:bCs/>
        </w:rPr>
        <w:t>buy more packaged foods</w:t>
      </w:r>
      <w:r w:rsidR="00157A8B">
        <w:rPr>
          <w:bCs/>
        </w:rPr>
        <w:t>’</w:t>
      </w:r>
      <w:r>
        <w:rPr>
          <w:bCs/>
        </w:rPr>
        <w:t>.</w:t>
      </w:r>
      <w:r w:rsidR="00EB310B">
        <w:rPr>
          <w:bCs/>
        </w:rPr>
        <w:t xml:space="preserve"> </w:t>
      </w:r>
      <w:r w:rsidR="003C6954">
        <w:rPr>
          <w:bCs/>
        </w:rPr>
        <w:t xml:space="preserve">Profiling of these groups shows </w:t>
      </w:r>
      <w:r w:rsidR="00AA6238">
        <w:rPr>
          <w:bCs/>
        </w:rPr>
        <w:t>t</w:t>
      </w:r>
      <w:r w:rsidR="00EB310B">
        <w:rPr>
          <w:bCs/>
        </w:rPr>
        <w:t xml:space="preserve">hese people are more likely to be CALD, </w:t>
      </w:r>
      <w:r w:rsidR="00CF54E6">
        <w:rPr>
          <w:bCs/>
        </w:rPr>
        <w:t xml:space="preserve">or </w:t>
      </w:r>
      <w:r w:rsidR="00EB310B">
        <w:rPr>
          <w:bCs/>
        </w:rPr>
        <w:t xml:space="preserve">live in Victoria. </w:t>
      </w:r>
    </w:p>
    <w:p w:rsidR="00C54B8C" w:rsidRDefault="00C54B8C" w:rsidP="00562D3F">
      <w:pPr>
        <w:spacing w:after="0" w:line="240" w:lineRule="auto"/>
        <w:rPr>
          <w:b/>
          <w:bCs/>
          <w:u w:val="single"/>
        </w:rPr>
      </w:pPr>
    </w:p>
    <w:p w:rsidR="008827E3" w:rsidRDefault="00C54B8C">
      <w:pPr>
        <w:spacing w:after="0" w:line="240" w:lineRule="auto"/>
        <w:rPr>
          <w:bCs/>
          <w:color w:val="404040" w:themeColor="text1" w:themeTint="BF"/>
          <w:sz w:val="20"/>
          <w:szCs w:val="18"/>
        </w:rPr>
      </w:pPr>
      <w:r>
        <w:t xml:space="preserve">At a spontaneous level, </w:t>
      </w:r>
      <w:r w:rsidR="005550C7">
        <w:t xml:space="preserve">the </w:t>
      </w:r>
      <w:r>
        <w:t>campaign messa</w:t>
      </w:r>
      <w:r w:rsidR="009C05EB">
        <w:t>g</w:t>
      </w:r>
      <w:r w:rsidR="005550C7">
        <w:t>e</w:t>
      </w:r>
      <w:r>
        <w:t xml:space="preserve"> is generally on </w:t>
      </w:r>
      <w:r w:rsidR="00037EF9">
        <w:t>target;</w:t>
      </w:r>
      <w:r>
        <w:t xml:space="preserve"> </w:t>
      </w:r>
      <w:r w:rsidR="003D4B54">
        <w:t xml:space="preserve">over half of </w:t>
      </w:r>
      <w:r>
        <w:t>people (58%) understand</w:t>
      </w:r>
      <w:r w:rsidR="00BE74A9">
        <w:t xml:space="preserve"> that</w:t>
      </w:r>
      <w:r>
        <w:t xml:space="preserve"> the campaign communicates the role of the system. Some confusion arose regarding whether the ad message was relating to the</w:t>
      </w:r>
      <w:r w:rsidRPr="005A6ADC">
        <w:rPr>
          <w:i/>
        </w:rPr>
        <w:t xml:space="preserve"> system</w:t>
      </w:r>
      <w:r>
        <w:t xml:space="preserve"> </w:t>
      </w:r>
      <w:r w:rsidR="00157A8B">
        <w:t xml:space="preserve">itself </w:t>
      </w:r>
      <w:r>
        <w:t xml:space="preserve">or the </w:t>
      </w:r>
      <w:r w:rsidRPr="005A6ADC">
        <w:rPr>
          <w:i/>
        </w:rPr>
        <w:t>products</w:t>
      </w:r>
      <w:r>
        <w:t xml:space="preserve"> displaying the system, as shown in the table below.</w:t>
      </w:r>
      <w:r w:rsidR="00214FB7">
        <w:t xml:space="preserve"> This table outlines what people believe the ads are trying to </w:t>
      </w:r>
      <w:r w:rsidR="00EE5DE7">
        <w:t>communicate</w:t>
      </w:r>
      <w:r w:rsidR="00214FB7">
        <w:t>.</w:t>
      </w:r>
      <w:r w:rsidR="008827E3">
        <w:br w:type="page"/>
      </w:r>
    </w:p>
    <w:p w:rsidR="00613192" w:rsidRPr="00342087" w:rsidRDefault="00613192" w:rsidP="00342087">
      <w:pPr>
        <w:pStyle w:val="Caption"/>
      </w:pPr>
      <w:r w:rsidRPr="00342087">
        <w:lastRenderedPageBreak/>
        <w:t>Table 5</w:t>
      </w:r>
      <w:r w:rsidR="00BE6346" w:rsidRPr="00342087">
        <w:t xml:space="preserve"> </w:t>
      </w:r>
      <w:r w:rsidR="00AA6238" w:rsidRPr="00342087">
        <w:t>–</w:t>
      </w:r>
      <w:r w:rsidR="00BE6346" w:rsidRPr="00342087">
        <w:t xml:space="preserve"> </w:t>
      </w:r>
      <w:r w:rsidR="00EE5DE7" w:rsidRPr="00342087">
        <w:t>R</w:t>
      </w:r>
      <w:r w:rsidR="00AA6238" w:rsidRPr="00342087">
        <w:t>esponses to the question “</w:t>
      </w:r>
      <w:r w:rsidR="00BE6346" w:rsidRPr="00342087">
        <w:t>What do you think these ads are trying to tell you? What is the message?</w:t>
      </w:r>
      <w:r w:rsidR="00AA6238" w:rsidRPr="00342087">
        <w:t>”</w:t>
      </w:r>
      <w:r w:rsidR="00BD47B3" w:rsidRPr="00342087">
        <w:t xml:space="preserve"> </w:t>
      </w:r>
      <w:r w:rsidR="00EE5DE7" w:rsidRPr="00342087">
        <w:rPr>
          <w:rStyle w:val="Emphasis"/>
          <w:i w:val="0"/>
          <w:iCs w:val="0"/>
        </w:rPr>
        <w:t>(</w:t>
      </w:r>
      <w:r w:rsidR="00BD47B3" w:rsidRPr="00342087">
        <w:rPr>
          <w:rStyle w:val="Emphasis"/>
          <w:i w:val="0"/>
          <w:iCs w:val="0"/>
        </w:rPr>
        <w:t>Open Ended responses</w:t>
      </w:r>
      <w:r w:rsidR="00EE5DE7" w:rsidRPr="00342087">
        <w:rPr>
          <w:rStyle w:val="Emphasis"/>
          <w:i w:val="0"/>
          <w:iCs w:val="0"/>
        </w:rPr>
        <w:t>-</w:t>
      </w:r>
      <w:r w:rsidR="00BD47B3" w:rsidRPr="00342087">
        <w:rPr>
          <w:rStyle w:val="Emphasis"/>
          <w:i w:val="0"/>
          <w:iCs w:val="0"/>
        </w:rPr>
        <w:t xml:space="preserve"> coded</w:t>
      </w:r>
      <w:r w:rsidR="00EE5DE7" w:rsidRPr="00342087">
        <w:rPr>
          <w:rStyle w:val="Emphasis"/>
          <w:i w:val="0"/>
          <w:iCs w:val="0"/>
        </w:rPr>
        <w:t>)</w:t>
      </w:r>
    </w:p>
    <w:tbl>
      <w:tblPr>
        <w:tblW w:w="7060" w:type="dxa"/>
        <w:tblCellMar>
          <w:left w:w="0" w:type="dxa"/>
          <w:right w:w="0" w:type="dxa"/>
        </w:tblCellMar>
        <w:tblLook w:val="0420" w:firstRow="1" w:lastRow="0" w:firstColumn="0" w:lastColumn="0" w:noHBand="0" w:noVBand="1"/>
      </w:tblPr>
      <w:tblGrid>
        <w:gridCol w:w="5500"/>
        <w:gridCol w:w="1560"/>
      </w:tblGrid>
      <w:tr w:rsidR="00562D3F" w:rsidRPr="005B2C66" w:rsidTr="00E6724B">
        <w:trPr>
          <w:trHeight w:val="454"/>
        </w:trPr>
        <w:tc>
          <w:tcPr>
            <w:tcW w:w="5500" w:type="dxa"/>
            <w:tcBorders>
              <w:top w:val="nil"/>
              <w:left w:val="nil"/>
              <w:bottom w:val="single" w:sz="4" w:space="0" w:color="auto"/>
              <w:right w:val="nil"/>
            </w:tcBorders>
            <w:shd w:val="clear" w:color="auto" w:fill="auto"/>
            <w:tcMar>
              <w:top w:w="72" w:type="dxa"/>
              <w:left w:w="15" w:type="dxa"/>
              <w:bottom w:w="170" w:type="dxa"/>
              <w:right w:w="144" w:type="dxa"/>
            </w:tcMar>
            <w:vAlign w:val="bottom"/>
            <w:hideMark/>
          </w:tcPr>
          <w:p w:rsidR="00562D3F" w:rsidRPr="00E6724B" w:rsidRDefault="00EE5DE7" w:rsidP="006579E8">
            <w:pPr>
              <w:spacing w:after="0" w:line="240" w:lineRule="auto"/>
              <w:rPr>
                <w:color w:val="000000" w:themeColor="text1"/>
              </w:rPr>
            </w:pPr>
            <w:r>
              <w:rPr>
                <w:bCs/>
                <w:color w:val="000000" w:themeColor="text1"/>
              </w:rPr>
              <w:t xml:space="preserve">Coded </w:t>
            </w:r>
            <w:r w:rsidR="00562D3F" w:rsidRPr="00E6724B">
              <w:rPr>
                <w:bCs/>
                <w:color w:val="000000" w:themeColor="text1"/>
              </w:rPr>
              <w:t>Responses</w:t>
            </w:r>
          </w:p>
        </w:tc>
        <w:tc>
          <w:tcPr>
            <w:tcW w:w="1560" w:type="dxa"/>
            <w:tcBorders>
              <w:top w:val="nil"/>
              <w:left w:val="nil"/>
              <w:bottom w:val="single" w:sz="4" w:space="0" w:color="auto"/>
              <w:right w:val="nil"/>
            </w:tcBorders>
            <w:shd w:val="clear" w:color="auto" w:fill="auto"/>
            <w:tcMar>
              <w:top w:w="72" w:type="dxa"/>
              <w:left w:w="144" w:type="dxa"/>
              <w:bottom w:w="170" w:type="dxa"/>
              <w:right w:w="144" w:type="dxa"/>
            </w:tcMar>
            <w:vAlign w:val="bottom"/>
            <w:hideMark/>
          </w:tcPr>
          <w:p w:rsidR="00562D3F" w:rsidRPr="00E6724B" w:rsidRDefault="00EE5DE7" w:rsidP="006579E8">
            <w:pPr>
              <w:spacing w:after="0" w:line="240" w:lineRule="auto"/>
              <w:rPr>
                <w:color w:val="000000" w:themeColor="text1"/>
              </w:rPr>
            </w:pPr>
            <w:r>
              <w:rPr>
                <w:bCs/>
                <w:color w:val="000000" w:themeColor="text1"/>
              </w:rPr>
              <w:t xml:space="preserve">Proportion of </w:t>
            </w:r>
            <w:r w:rsidR="00562D3F" w:rsidRPr="00E6724B">
              <w:rPr>
                <w:bCs/>
                <w:color w:val="000000" w:themeColor="text1"/>
              </w:rPr>
              <w:t>Total Sample</w:t>
            </w:r>
            <w:r w:rsidR="007807AF">
              <w:rPr>
                <w:bCs/>
                <w:color w:val="000000" w:themeColor="text1"/>
              </w:rPr>
              <w:t>#</w:t>
            </w:r>
          </w:p>
        </w:tc>
      </w:tr>
      <w:tr w:rsidR="00562D3F" w:rsidRPr="005B2C66" w:rsidTr="00E6724B">
        <w:trPr>
          <w:trHeight w:val="324"/>
        </w:trPr>
        <w:tc>
          <w:tcPr>
            <w:tcW w:w="5500" w:type="dxa"/>
            <w:tcBorders>
              <w:top w:val="single" w:sz="4" w:space="0" w:color="auto"/>
              <w:left w:val="nil"/>
              <w:bottom w:val="nil"/>
              <w:right w:val="nil"/>
            </w:tcBorders>
            <w:shd w:val="clear" w:color="auto" w:fill="FFF6D7"/>
            <w:tcMar>
              <w:top w:w="15" w:type="dxa"/>
              <w:left w:w="113" w:type="dxa"/>
              <w:bottom w:w="0" w:type="dxa"/>
              <w:right w:w="15" w:type="dxa"/>
            </w:tcMar>
            <w:vAlign w:val="center"/>
            <w:hideMark/>
          </w:tcPr>
          <w:p w:rsidR="00562D3F" w:rsidRPr="005B2C66" w:rsidRDefault="00562D3F" w:rsidP="006579E8">
            <w:pPr>
              <w:spacing w:after="0" w:line="240" w:lineRule="auto"/>
            </w:pPr>
            <w:r w:rsidRPr="005B2C66">
              <w:t>NET The role of the system</w:t>
            </w:r>
          </w:p>
        </w:tc>
        <w:tc>
          <w:tcPr>
            <w:tcW w:w="1560" w:type="dxa"/>
            <w:tcBorders>
              <w:top w:val="single" w:sz="4" w:space="0" w:color="auto"/>
              <w:left w:val="nil"/>
              <w:bottom w:val="nil"/>
              <w:right w:val="nil"/>
            </w:tcBorders>
            <w:shd w:val="clear" w:color="auto" w:fill="FFF6D7"/>
            <w:tcMar>
              <w:top w:w="15" w:type="dxa"/>
              <w:left w:w="15" w:type="dxa"/>
              <w:bottom w:w="0" w:type="dxa"/>
              <w:right w:w="567" w:type="dxa"/>
            </w:tcMar>
            <w:vAlign w:val="center"/>
            <w:hideMark/>
          </w:tcPr>
          <w:p w:rsidR="00562D3F" w:rsidRPr="005B2C66" w:rsidRDefault="00562D3F" w:rsidP="006579E8">
            <w:pPr>
              <w:spacing w:after="0" w:line="240" w:lineRule="auto"/>
            </w:pPr>
            <w:r w:rsidRPr="005B2C66">
              <w:t>58%</w:t>
            </w:r>
          </w:p>
        </w:tc>
      </w:tr>
      <w:tr w:rsidR="00562D3F" w:rsidRPr="005B2C66" w:rsidTr="006579E8">
        <w:trPr>
          <w:trHeight w:val="324"/>
        </w:trPr>
        <w:tc>
          <w:tcPr>
            <w:tcW w:w="5500" w:type="dxa"/>
            <w:tcBorders>
              <w:top w:val="nil"/>
              <w:left w:val="nil"/>
              <w:bottom w:val="nil"/>
              <w:right w:val="nil"/>
            </w:tcBorders>
            <w:shd w:val="clear" w:color="auto" w:fill="auto"/>
            <w:tcMar>
              <w:top w:w="15" w:type="dxa"/>
              <w:left w:w="113" w:type="dxa"/>
              <w:bottom w:w="0" w:type="dxa"/>
              <w:right w:w="15" w:type="dxa"/>
            </w:tcMar>
            <w:vAlign w:val="center"/>
            <w:hideMark/>
          </w:tcPr>
          <w:p w:rsidR="00562D3F" w:rsidRPr="005B2C66" w:rsidRDefault="00562D3F" w:rsidP="006579E8">
            <w:pPr>
              <w:spacing w:after="0" w:line="240" w:lineRule="auto"/>
            </w:pPr>
            <w:r w:rsidRPr="005B2C66">
              <w:t>The more stars the healthier/ better</w:t>
            </w:r>
          </w:p>
        </w:tc>
        <w:tc>
          <w:tcPr>
            <w:tcW w:w="1560" w:type="dxa"/>
            <w:tcBorders>
              <w:top w:val="nil"/>
              <w:left w:val="nil"/>
              <w:bottom w:val="nil"/>
              <w:right w:val="nil"/>
            </w:tcBorders>
            <w:shd w:val="clear" w:color="auto" w:fill="auto"/>
            <w:tcMar>
              <w:top w:w="15" w:type="dxa"/>
              <w:left w:w="15" w:type="dxa"/>
              <w:bottom w:w="0" w:type="dxa"/>
              <w:right w:w="567" w:type="dxa"/>
            </w:tcMar>
            <w:vAlign w:val="center"/>
            <w:hideMark/>
          </w:tcPr>
          <w:p w:rsidR="00562D3F" w:rsidRPr="005B2C66" w:rsidRDefault="00562D3F" w:rsidP="006579E8">
            <w:pPr>
              <w:spacing w:after="0" w:line="240" w:lineRule="auto"/>
            </w:pPr>
            <w:r w:rsidRPr="005B2C66">
              <w:t>24%</w:t>
            </w:r>
          </w:p>
        </w:tc>
      </w:tr>
      <w:tr w:rsidR="00562D3F" w:rsidRPr="005B2C66" w:rsidTr="006579E8">
        <w:trPr>
          <w:trHeight w:val="518"/>
        </w:trPr>
        <w:tc>
          <w:tcPr>
            <w:tcW w:w="5500" w:type="dxa"/>
            <w:tcBorders>
              <w:top w:val="nil"/>
              <w:left w:val="nil"/>
              <w:bottom w:val="nil"/>
              <w:right w:val="nil"/>
            </w:tcBorders>
            <w:shd w:val="clear" w:color="auto" w:fill="auto"/>
            <w:tcMar>
              <w:top w:w="15" w:type="dxa"/>
              <w:left w:w="113" w:type="dxa"/>
              <w:bottom w:w="0" w:type="dxa"/>
              <w:right w:w="15" w:type="dxa"/>
            </w:tcMar>
            <w:vAlign w:val="center"/>
            <w:hideMark/>
          </w:tcPr>
          <w:p w:rsidR="00562D3F" w:rsidRPr="005B2C66" w:rsidRDefault="00562D3F" w:rsidP="006579E8">
            <w:pPr>
              <w:spacing w:after="0" w:line="240" w:lineRule="auto"/>
            </w:pPr>
            <w:r w:rsidRPr="005B2C66">
              <w:t>Make healthy food choices/ choose the healthy option</w:t>
            </w:r>
          </w:p>
        </w:tc>
        <w:tc>
          <w:tcPr>
            <w:tcW w:w="1560" w:type="dxa"/>
            <w:tcBorders>
              <w:top w:val="nil"/>
              <w:left w:val="nil"/>
              <w:bottom w:val="nil"/>
              <w:right w:val="nil"/>
            </w:tcBorders>
            <w:shd w:val="clear" w:color="auto" w:fill="auto"/>
            <w:tcMar>
              <w:top w:w="15" w:type="dxa"/>
              <w:left w:w="15" w:type="dxa"/>
              <w:bottom w:w="0" w:type="dxa"/>
              <w:right w:w="567" w:type="dxa"/>
            </w:tcMar>
            <w:vAlign w:val="center"/>
            <w:hideMark/>
          </w:tcPr>
          <w:p w:rsidR="00562D3F" w:rsidRPr="005B2C66" w:rsidRDefault="00562D3F" w:rsidP="006579E8">
            <w:pPr>
              <w:spacing w:after="0" w:line="240" w:lineRule="auto"/>
            </w:pPr>
            <w:r w:rsidRPr="005B2C66">
              <w:t>15%</w:t>
            </w:r>
          </w:p>
        </w:tc>
      </w:tr>
      <w:tr w:rsidR="00562D3F" w:rsidRPr="005B2C66" w:rsidTr="006579E8">
        <w:trPr>
          <w:trHeight w:val="472"/>
        </w:trPr>
        <w:tc>
          <w:tcPr>
            <w:tcW w:w="5500" w:type="dxa"/>
            <w:tcBorders>
              <w:top w:val="nil"/>
              <w:left w:val="nil"/>
              <w:bottom w:val="nil"/>
              <w:right w:val="nil"/>
            </w:tcBorders>
            <w:shd w:val="clear" w:color="auto" w:fill="auto"/>
            <w:tcMar>
              <w:top w:w="15" w:type="dxa"/>
              <w:left w:w="113" w:type="dxa"/>
              <w:bottom w:w="0" w:type="dxa"/>
              <w:right w:w="15" w:type="dxa"/>
            </w:tcMar>
            <w:vAlign w:val="center"/>
            <w:hideMark/>
          </w:tcPr>
          <w:p w:rsidR="00562D3F" w:rsidRPr="005B2C66" w:rsidRDefault="00562D3F" w:rsidP="006579E8">
            <w:pPr>
              <w:spacing w:after="0" w:line="240" w:lineRule="auto"/>
            </w:pPr>
            <w:r w:rsidRPr="005B2C66">
              <w:t>Eat healthier</w:t>
            </w:r>
          </w:p>
        </w:tc>
        <w:tc>
          <w:tcPr>
            <w:tcW w:w="1560" w:type="dxa"/>
            <w:tcBorders>
              <w:top w:val="nil"/>
              <w:left w:val="nil"/>
              <w:bottom w:val="nil"/>
              <w:right w:val="nil"/>
            </w:tcBorders>
            <w:shd w:val="clear" w:color="auto" w:fill="auto"/>
            <w:tcMar>
              <w:top w:w="15" w:type="dxa"/>
              <w:left w:w="15" w:type="dxa"/>
              <w:bottom w:w="0" w:type="dxa"/>
              <w:right w:w="567" w:type="dxa"/>
            </w:tcMar>
            <w:vAlign w:val="center"/>
            <w:hideMark/>
          </w:tcPr>
          <w:p w:rsidR="00562D3F" w:rsidRPr="005B2C66" w:rsidRDefault="00562D3F" w:rsidP="006579E8">
            <w:pPr>
              <w:spacing w:after="0" w:line="240" w:lineRule="auto"/>
            </w:pPr>
            <w:r w:rsidRPr="005B2C66">
              <w:t>8%</w:t>
            </w:r>
          </w:p>
        </w:tc>
      </w:tr>
      <w:tr w:rsidR="00562D3F" w:rsidRPr="005B2C66" w:rsidTr="006579E8">
        <w:trPr>
          <w:trHeight w:val="324"/>
        </w:trPr>
        <w:tc>
          <w:tcPr>
            <w:tcW w:w="5500" w:type="dxa"/>
            <w:tcBorders>
              <w:top w:val="nil"/>
              <w:left w:val="nil"/>
              <w:bottom w:val="nil"/>
              <w:right w:val="nil"/>
            </w:tcBorders>
            <w:shd w:val="clear" w:color="auto" w:fill="auto"/>
            <w:tcMar>
              <w:top w:w="15" w:type="dxa"/>
              <w:left w:w="113" w:type="dxa"/>
              <w:bottom w:w="0" w:type="dxa"/>
              <w:right w:w="15" w:type="dxa"/>
            </w:tcMar>
            <w:vAlign w:val="center"/>
            <w:hideMark/>
          </w:tcPr>
          <w:p w:rsidR="00562D3F" w:rsidRPr="005B2C66" w:rsidRDefault="00562D3F" w:rsidP="006579E8">
            <w:pPr>
              <w:spacing w:after="0" w:line="240" w:lineRule="auto"/>
            </w:pPr>
            <w:r w:rsidRPr="005B2C66">
              <w:t>Star system will be introduced</w:t>
            </w:r>
          </w:p>
        </w:tc>
        <w:tc>
          <w:tcPr>
            <w:tcW w:w="1560" w:type="dxa"/>
            <w:tcBorders>
              <w:top w:val="nil"/>
              <w:left w:val="nil"/>
              <w:bottom w:val="nil"/>
              <w:right w:val="nil"/>
            </w:tcBorders>
            <w:shd w:val="clear" w:color="auto" w:fill="auto"/>
            <w:tcMar>
              <w:top w:w="15" w:type="dxa"/>
              <w:left w:w="15" w:type="dxa"/>
              <w:bottom w:w="0" w:type="dxa"/>
              <w:right w:w="567" w:type="dxa"/>
            </w:tcMar>
            <w:vAlign w:val="center"/>
            <w:hideMark/>
          </w:tcPr>
          <w:p w:rsidR="00562D3F" w:rsidRPr="005B2C66" w:rsidRDefault="00562D3F" w:rsidP="006579E8">
            <w:pPr>
              <w:spacing w:after="0" w:line="240" w:lineRule="auto"/>
            </w:pPr>
            <w:r w:rsidRPr="005B2C66">
              <w:t>5%</w:t>
            </w:r>
          </w:p>
        </w:tc>
      </w:tr>
      <w:tr w:rsidR="00562D3F" w:rsidRPr="005B2C66" w:rsidTr="006579E8">
        <w:trPr>
          <w:trHeight w:val="324"/>
        </w:trPr>
        <w:tc>
          <w:tcPr>
            <w:tcW w:w="5500" w:type="dxa"/>
            <w:tcBorders>
              <w:top w:val="nil"/>
              <w:left w:val="nil"/>
              <w:bottom w:val="nil"/>
              <w:right w:val="nil"/>
            </w:tcBorders>
            <w:shd w:val="clear" w:color="auto" w:fill="auto"/>
            <w:tcMar>
              <w:top w:w="15" w:type="dxa"/>
              <w:left w:w="113" w:type="dxa"/>
              <w:bottom w:w="0" w:type="dxa"/>
              <w:right w:w="15" w:type="dxa"/>
            </w:tcMar>
            <w:vAlign w:val="center"/>
            <w:hideMark/>
          </w:tcPr>
          <w:p w:rsidR="00562D3F" w:rsidRPr="005B2C66" w:rsidRDefault="00562D3F" w:rsidP="006579E8">
            <w:pPr>
              <w:spacing w:after="0" w:line="240" w:lineRule="auto"/>
            </w:pPr>
            <w:r w:rsidRPr="005B2C66">
              <w:t>To compare products</w:t>
            </w:r>
          </w:p>
        </w:tc>
        <w:tc>
          <w:tcPr>
            <w:tcW w:w="1560" w:type="dxa"/>
            <w:tcBorders>
              <w:top w:val="nil"/>
              <w:left w:val="nil"/>
              <w:bottom w:val="nil"/>
              <w:right w:val="nil"/>
            </w:tcBorders>
            <w:shd w:val="clear" w:color="auto" w:fill="auto"/>
            <w:tcMar>
              <w:top w:w="15" w:type="dxa"/>
              <w:left w:w="15" w:type="dxa"/>
              <w:bottom w:w="0" w:type="dxa"/>
              <w:right w:w="567" w:type="dxa"/>
            </w:tcMar>
            <w:vAlign w:val="center"/>
            <w:hideMark/>
          </w:tcPr>
          <w:p w:rsidR="00562D3F" w:rsidRPr="005B2C66" w:rsidRDefault="00562D3F" w:rsidP="006579E8">
            <w:pPr>
              <w:spacing w:after="0" w:line="240" w:lineRule="auto"/>
            </w:pPr>
            <w:r w:rsidRPr="005B2C66">
              <w:t>5%</w:t>
            </w:r>
          </w:p>
        </w:tc>
      </w:tr>
      <w:tr w:rsidR="00562D3F" w:rsidRPr="005B2C66" w:rsidTr="006579E8">
        <w:trPr>
          <w:trHeight w:val="324"/>
        </w:trPr>
        <w:tc>
          <w:tcPr>
            <w:tcW w:w="5500" w:type="dxa"/>
            <w:tcBorders>
              <w:top w:val="nil"/>
              <w:left w:val="nil"/>
              <w:bottom w:val="nil"/>
              <w:right w:val="nil"/>
            </w:tcBorders>
            <w:shd w:val="clear" w:color="auto" w:fill="auto"/>
            <w:tcMar>
              <w:top w:w="15" w:type="dxa"/>
              <w:left w:w="113" w:type="dxa"/>
              <w:bottom w:w="0" w:type="dxa"/>
              <w:right w:w="15" w:type="dxa"/>
            </w:tcMar>
            <w:vAlign w:val="center"/>
            <w:hideMark/>
          </w:tcPr>
          <w:p w:rsidR="00562D3F" w:rsidRPr="005B2C66" w:rsidRDefault="00562D3F" w:rsidP="006579E8">
            <w:pPr>
              <w:spacing w:after="0" w:line="240" w:lineRule="auto"/>
            </w:pPr>
            <w:r w:rsidRPr="005B2C66">
              <w:t>Know nutritional information</w:t>
            </w:r>
          </w:p>
        </w:tc>
        <w:tc>
          <w:tcPr>
            <w:tcW w:w="1560" w:type="dxa"/>
            <w:tcBorders>
              <w:top w:val="nil"/>
              <w:left w:val="nil"/>
              <w:bottom w:val="nil"/>
              <w:right w:val="nil"/>
            </w:tcBorders>
            <w:shd w:val="clear" w:color="auto" w:fill="auto"/>
            <w:tcMar>
              <w:top w:w="15" w:type="dxa"/>
              <w:left w:w="15" w:type="dxa"/>
              <w:bottom w:w="0" w:type="dxa"/>
              <w:right w:w="567" w:type="dxa"/>
            </w:tcMar>
            <w:vAlign w:val="center"/>
            <w:hideMark/>
          </w:tcPr>
          <w:p w:rsidR="00562D3F" w:rsidRPr="005B2C66" w:rsidRDefault="00562D3F" w:rsidP="006579E8">
            <w:pPr>
              <w:spacing w:after="0" w:line="240" w:lineRule="auto"/>
            </w:pPr>
            <w:r w:rsidRPr="005B2C66">
              <w:t>1%</w:t>
            </w:r>
          </w:p>
        </w:tc>
      </w:tr>
      <w:tr w:rsidR="00562D3F" w:rsidRPr="005B2C66" w:rsidTr="009A6D30">
        <w:trPr>
          <w:trHeight w:val="361"/>
        </w:trPr>
        <w:tc>
          <w:tcPr>
            <w:tcW w:w="5500" w:type="dxa"/>
            <w:tcBorders>
              <w:top w:val="nil"/>
              <w:left w:val="nil"/>
              <w:bottom w:val="nil"/>
              <w:right w:val="nil"/>
            </w:tcBorders>
            <w:shd w:val="clear" w:color="auto" w:fill="FFF6D7"/>
            <w:tcMar>
              <w:top w:w="15" w:type="dxa"/>
              <w:left w:w="113" w:type="dxa"/>
              <w:bottom w:w="0" w:type="dxa"/>
              <w:right w:w="15" w:type="dxa"/>
            </w:tcMar>
            <w:vAlign w:val="center"/>
            <w:hideMark/>
          </w:tcPr>
          <w:p w:rsidR="00562D3F" w:rsidRPr="005B2C66" w:rsidRDefault="00562D3F" w:rsidP="006579E8">
            <w:pPr>
              <w:spacing w:after="0" w:line="240" w:lineRule="auto"/>
            </w:pPr>
            <w:r w:rsidRPr="005B2C66">
              <w:t>NET The products with the HSR system</w:t>
            </w:r>
          </w:p>
        </w:tc>
        <w:tc>
          <w:tcPr>
            <w:tcW w:w="1560" w:type="dxa"/>
            <w:tcBorders>
              <w:top w:val="nil"/>
              <w:left w:val="nil"/>
              <w:bottom w:val="nil"/>
              <w:right w:val="nil"/>
            </w:tcBorders>
            <w:shd w:val="clear" w:color="auto" w:fill="FFF6D7"/>
            <w:tcMar>
              <w:top w:w="15" w:type="dxa"/>
              <w:left w:w="15" w:type="dxa"/>
              <w:bottom w:w="0" w:type="dxa"/>
              <w:right w:w="567" w:type="dxa"/>
            </w:tcMar>
            <w:vAlign w:val="center"/>
            <w:hideMark/>
          </w:tcPr>
          <w:p w:rsidR="00562D3F" w:rsidRPr="005B2C66" w:rsidRDefault="00562D3F" w:rsidP="006579E8">
            <w:pPr>
              <w:spacing w:after="0" w:line="240" w:lineRule="auto"/>
            </w:pPr>
            <w:r w:rsidRPr="005B2C66">
              <w:t>19%</w:t>
            </w:r>
          </w:p>
        </w:tc>
      </w:tr>
      <w:tr w:rsidR="00562D3F" w:rsidRPr="005B2C66" w:rsidTr="006579E8">
        <w:trPr>
          <w:trHeight w:val="324"/>
        </w:trPr>
        <w:tc>
          <w:tcPr>
            <w:tcW w:w="5500" w:type="dxa"/>
            <w:tcBorders>
              <w:top w:val="nil"/>
              <w:left w:val="nil"/>
              <w:bottom w:val="nil"/>
              <w:right w:val="nil"/>
            </w:tcBorders>
            <w:shd w:val="clear" w:color="auto" w:fill="auto"/>
            <w:tcMar>
              <w:top w:w="15" w:type="dxa"/>
              <w:left w:w="113" w:type="dxa"/>
              <w:bottom w:w="0" w:type="dxa"/>
              <w:right w:w="15" w:type="dxa"/>
            </w:tcMar>
            <w:vAlign w:val="center"/>
            <w:hideMark/>
          </w:tcPr>
          <w:p w:rsidR="00562D3F" w:rsidRPr="005B2C66" w:rsidRDefault="00562D3F" w:rsidP="006579E8">
            <w:pPr>
              <w:spacing w:after="0" w:line="240" w:lineRule="auto"/>
            </w:pPr>
            <w:r w:rsidRPr="005B2C66">
              <w:t>How healthy a product is/ health rating of product</w:t>
            </w:r>
          </w:p>
        </w:tc>
        <w:tc>
          <w:tcPr>
            <w:tcW w:w="1560" w:type="dxa"/>
            <w:tcBorders>
              <w:top w:val="nil"/>
              <w:left w:val="nil"/>
              <w:bottom w:val="nil"/>
              <w:right w:val="nil"/>
            </w:tcBorders>
            <w:shd w:val="clear" w:color="auto" w:fill="auto"/>
            <w:tcMar>
              <w:top w:w="15" w:type="dxa"/>
              <w:left w:w="15" w:type="dxa"/>
              <w:bottom w:w="0" w:type="dxa"/>
              <w:right w:w="567" w:type="dxa"/>
            </w:tcMar>
            <w:vAlign w:val="center"/>
            <w:hideMark/>
          </w:tcPr>
          <w:p w:rsidR="00562D3F" w:rsidRPr="005B2C66" w:rsidRDefault="00562D3F" w:rsidP="006579E8">
            <w:pPr>
              <w:spacing w:after="0" w:line="240" w:lineRule="auto"/>
            </w:pPr>
            <w:r w:rsidRPr="005B2C66">
              <w:t>8%</w:t>
            </w:r>
          </w:p>
        </w:tc>
      </w:tr>
      <w:tr w:rsidR="00562D3F" w:rsidRPr="005B2C66" w:rsidTr="006579E8">
        <w:trPr>
          <w:trHeight w:val="324"/>
        </w:trPr>
        <w:tc>
          <w:tcPr>
            <w:tcW w:w="5500" w:type="dxa"/>
            <w:tcBorders>
              <w:top w:val="nil"/>
              <w:left w:val="nil"/>
              <w:bottom w:val="nil"/>
              <w:right w:val="nil"/>
            </w:tcBorders>
            <w:shd w:val="clear" w:color="auto" w:fill="auto"/>
            <w:tcMar>
              <w:top w:w="15" w:type="dxa"/>
              <w:left w:w="113" w:type="dxa"/>
              <w:bottom w:w="0" w:type="dxa"/>
              <w:right w:w="15" w:type="dxa"/>
            </w:tcMar>
            <w:vAlign w:val="center"/>
            <w:hideMark/>
          </w:tcPr>
          <w:p w:rsidR="00562D3F" w:rsidRPr="005B2C66" w:rsidRDefault="00562D3F" w:rsidP="006579E8">
            <w:pPr>
              <w:spacing w:after="0" w:line="240" w:lineRule="auto"/>
            </w:pPr>
            <w:r w:rsidRPr="005B2C66">
              <w:t>Buy healthy/ healthier food</w:t>
            </w:r>
          </w:p>
        </w:tc>
        <w:tc>
          <w:tcPr>
            <w:tcW w:w="1560" w:type="dxa"/>
            <w:tcBorders>
              <w:top w:val="nil"/>
              <w:left w:val="nil"/>
              <w:bottom w:val="nil"/>
              <w:right w:val="nil"/>
            </w:tcBorders>
            <w:shd w:val="clear" w:color="auto" w:fill="auto"/>
            <w:tcMar>
              <w:top w:w="15" w:type="dxa"/>
              <w:left w:w="15" w:type="dxa"/>
              <w:bottom w:w="0" w:type="dxa"/>
              <w:right w:w="567" w:type="dxa"/>
            </w:tcMar>
            <w:vAlign w:val="center"/>
            <w:hideMark/>
          </w:tcPr>
          <w:p w:rsidR="00562D3F" w:rsidRPr="005B2C66" w:rsidRDefault="00562D3F" w:rsidP="006579E8">
            <w:pPr>
              <w:spacing w:after="0" w:line="240" w:lineRule="auto"/>
            </w:pPr>
            <w:r w:rsidRPr="005B2C66">
              <w:t>4%</w:t>
            </w:r>
          </w:p>
        </w:tc>
      </w:tr>
      <w:tr w:rsidR="00562D3F" w:rsidRPr="005B2C66" w:rsidTr="006579E8">
        <w:trPr>
          <w:trHeight w:val="324"/>
        </w:trPr>
        <w:tc>
          <w:tcPr>
            <w:tcW w:w="5500" w:type="dxa"/>
            <w:tcBorders>
              <w:top w:val="nil"/>
              <w:left w:val="nil"/>
              <w:bottom w:val="nil"/>
              <w:right w:val="nil"/>
            </w:tcBorders>
            <w:shd w:val="clear" w:color="auto" w:fill="auto"/>
            <w:tcMar>
              <w:top w:w="15" w:type="dxa"/>
              <w:left w:w="113" w:type="dxa"/>
              <w:bottom w:w="0" w:type="dxa"/>
              <w:right w:w="15" w:type="dxa"/>
            </w:tcMar>
            <w:vAlign w:val="center"/>
            <w:hideMark/>
          </w:tcPr>
          <w:p w:rsidR="00562D3F" w:rsidRPr="005B2C66" w:rsidRDefault="00562D3F" w:rsidP="006579E8">
            <w:pPr>
              <w:spacing w:after="0" w:line="240" w:lineRule="auto"/>
            </w:pPr>
            <w:r w:rsidRPr="005B2C66">
              <w:t>Buy this product/ buy products with stars</w:t>
            </w:r>
          </w:p>
        </w:tc>
        <w:tc>
          <w:tcPr>
            <w:tcW w:w="1560" w:type="dxa"/>
            <w:tcBorders>
              <w:top w:val="nil"/>
              <w:left w:val="nil"/>
              <w:bottom w:val="nil"/>
              <w:right w:val="nil"/>
            </w:tcBorders>
            <w:shd w:val="clear" w:color="auto" w:fill="auto"/>
            <w:tcMar>
              <w:top w:w="15" w:type="dxa"/>
              <w:left w:w="15" w:type="dxa"/>
              <w:bottom w:w="0" w:type="dxa"/>
              <w:right w:w="567" w:type="dxa"/>
            </w:tcMar>
            <w:vAlign w:val="center"/>
            <w:hideMark/>
          </w:tcPr>
          <w:p w:rsidR="00562D3F" w:rsidRPr="005B2C66" w:rsidRDefault="00562D3F" w:rsidP="006579E8">
            <w:pPr>
              <w:spacing w:after="0" w:line="240" w:lineRule="auto"/>
            </w:pPr>
            <w:r w:rsidRPr="005B2C66">
              <w:t>3%</w:t>
            </w:r>
          </w:p>
        </w:tc>
      </w:tr>
      <w:tr w:rsidR="00562D3F" w:rsidRPr="005B2C66" w:rsidTr="006579E8">
        <w:trPr>
          <w:trHeight w:val="445"/>
        </w:trPr>
        <w:tc>
          <w:tcPr>
            <w:tcW w:w="5500" w:type="dxa"/>
            <w:tcBorders>
              <w:top w:val="nil"/>
              <w:left w:val="nil"/>
              <w:bottom w:val="nil"/>
              <w:right w:val="nil"/>
            </w:tcBorders>
            <w:shd w:val="clear" w:color="auto" w:fill="auto"/>
            <w:tcMar>
              <w:top w:w="15" w:type="dxa"/>
              <w:left w:w="113" w:type="dxa"/>
              <w:bottom w:w="0" w:type="dxa"/>
              <w:right w:w="15" w:type="dxa"/>
            </w:tcMar>
            <w:vAlign w:val="center"/>
            <w:hideMark/>
          </w:tcPr>
          <w:p w:rsidR="00562D3F" w:rsidRPr="005B2C66" w:rsidRDefault="009454F7" w:rsidP="009454F7">
            <w:pPr>
              <w:spacing w:after="0" w:line="240" w:lineRule="auto"/>
            </w:pPr>
            <w:r>
              <w:t>It is h</w:t>
            </w:r>
            <w:r w:rsidR="00562D3F" w:rsidRPr="005B2C66">
              <w:t>ealthy food</w:t>
            </w:r>
          </w:p>
        </w:tc>
        <w:tc>
          <w:tcPr>
            <w:tcW w:w="1560" w:type="dxa"/>
            <w:tcBorders>
              <w:top w:val="nil"/>
              <w:left w:val="nil"/>
              <w:bottom w:val="nil"/>
              <w:right w:val="nil"/>
            </w:tcBorders>
            <w:shd w:val="clear" w:color="auto" w:fill="auto"/>
            <w:tcMar>
              <w:top w:w="15" w:type="dxa"/>
              <w:left w:w="15" w:type="dxa"/>
              <w:bottom w:w="0" w:type="dxa"/>
              <w:right w:w="567" w:type="dxa"/>
            </w:tcMar>
            <w:vAlign w:val="center"/>
            <w:hideMark/>
          </w:tcPr>
          <w:p w:rsidR="00562D3F" w:rsidRPr="005B2C66" w:rsidRDefault="00562D3F" w:rsidP="006579E8">
            <w:pPr>
              <w:spacing w:after="0" w:line="240" w:lineRule="auto"/>
            </w:pPr>
            <w:r w:rsidRPr="005B2C66">
              <w:t>3%</w:t>
            </w:r>
          </w:p>
        </w:tc>
      </w:tr>
      <w:tr w:rsidR="00562D3F" w:rsidRPr="005B2C66" w:rsidTr="009A6D30">
        <w:trPr>
          <w:trHeight w:val="413"/>
        </w:trPr>
        <w:tc>
          <w:tcPr>
            <w:tcW w:w="5500" w:type="dxa"/>
            <w:tcBorders>
              <w:top w:val="nil"/>
              <w:left w:val="nil"/>
              <w:bottom w:val="nil"/>
              <w:right w:val="nil"/>
            </w:tcBorders>
            <w:shd w:val="clear" w:color="auto" w:fill="FFF6D7"/>
            <w:tcMar>
              <w:top w:w="15" w:type="dxa"/>
              <w:left w:w="113" w:type="dxa"/>
              <w:bottom w:w="0" w:type="dxa"/>
              <w:right w:w="15" w:type="dxa"/>
            </w:tcMar>
            <w:vAlign w:val="center"/>
            <w:hideMark/>
          </w:tcPr>
          <w:p w:rsidR="00562D3F" w:rsidRPr="005B2C66" w:rsidRDefault="00562D3F" w:rsidP="006579E8">
            <w:pPr>
              <w:spacing w:after="0" w:line="240" w:lineRule="auto"/>
            </w:pPr>
            <w:r w:rsidRPr="005B2C66">
              <w:t>Cynical</w:t>
            </w:r>
          </w:p>
        </w:tc>
        <w:tc>
          <w:tcPr>
            <w:tcW w:w="1560" w:type="dxa"/>
            <w:tcBorders>
              <w:top w:val="nil"/>
              <w:left w:val="nil"/>
              <w:bottom w:val="nil"/>
              <w:right w:val="nil"/>
            </w:tcBorders>
            <w:shd w:val="clear" w:color="auto" w:fill="FFF6D7"/>
            <w:tcMar>
              <w:top w:w="15" w:type="dxa"/>
              <w:left w:w="15" w:type="dxa"/>
              <w:bottom w:w="0" w:type="dxa"/>
              <w:right w:w="567" w:type="dxa"/>
            </w:tcMar>
            <w:vAlign w:val="center"/>
            <w:hideMark/>
          </w:tcPr>
          <w:p w:rsidR="00562D3F" w:rsidRPr="005B2C66" w:rsidRDefault="00562D3F" w:rsidP="006579E8">
            <w:pPr>
              <w:spacing w:after="0" w:line="240" w:lineRule="auto"/>
            </w:pPr>
            <w:r w:rsidRPr="005B2C66">
              <w:t>3%</w:t>
            </w:r>
          </w:p>
        </w:tc>
      </w:tr>
      <w:tr w:rsidR="00562D3F" w:rsidRPr="005B2C66" w:rsidTr="009A6D30">
        <w:trPr>
          <w:trHeight w:val="445"/>
        </w:trPr>
        <w:tc>
          <w:tcPr>
            <w:tcW w:w="5500" w:type="dxa"/>
            <w:tcBorders>
              <w:top w:val="nil"/>
              <w:left w:val="nil"/>
              <w:bottom w:val="nil"/>
              <w:right w:val="nil"/>
            </w:tcBorders>
            <w:shd w:val="clear" w:color="auto" w:fill="FFF6D7"/>
            <w:tcMar>
              <w:top w:w="15" w:type="dxa"/>
              <w:left w:w="113" w:type="dxa"/>
              <w:bottom w:w="0" w:type="dxa"/>
              <w:right w:w="15" w:type="dxa"/>
            </w:tcMar>
            <w:vAlign w:val="center"/>
            <w:hideMark/>
          </w:tcPr>
          <w:p w:rsidR="00562D3F" w:rsidRPr="005B2C66" w:rsidRDefault="00562D3F" w:rsidP="006579E8">
            <w:pPr>
              <w:spacing w:after="0" w:line="240" w:lineRule="auto"/>
            </w:pPr>
            <w:r w:rsidRPr="005B2C66">
              <w:t>Other</w:t>
            </w:r>
          </w:p>
        </w:tc>
        <w:tc>
          <w:tcPr>
            <w:tcW w:w="1560" w:type="dxa"/>
            <w:tcBorders>
              <w:top w:val="nil"/>
              <w:left w:val="nil"/>
              <w:bottom w:val="nil"/>
              <w:right w:val="nil"/>
            </w:tcBorders>
            <w:shd w:val="clear" w:color="auto" w:fill="FFF6D7"/>
            <w:tcMar>
              <w:top w:w="15" w:type="dxa"/>
              <w:left w:w="15" w:type="dxa"/>
              <w:bottom w:w="0" w:type="dxa"/>
              <w:right w:w="567" w:type="dxa"/>
            </w:tcMar>
            <w:vAlign w:val="center"/>
            <w:hideMark/>
          </w:tcPr>
          <w:p w:rsidR="00562D3F" w:rsidRPr="005B2C66" w:rsidRDefault="00562D3F" w:rsidP="006579E8">
            <w:pPr>
              <w:spacing w:after="0" w:line="240" w:lineRule="auto"/>
            </w:pPr>
            <w:r w:rsidRPr="005B2C66">
              <w:t>2%</w:t>
            </w:r>
          </w:p>
        </w:tc>
      </w:tr>
      <w:tr w:rsidR="00562D3F" w:rsidRPr="005B2C66" w:rsidTr="009A6D30">
        <w:trPr>
          <w:trHeight w:val="300"/>
        </w:trPr>
        <w:tc>
          <w:tcPr>
            <w:tcW w:w="5500" w:type="dxa"/>
            <w:tcBorders>
              <w:top w:val="nil"/>
              <w:left w:val="nil"/>
              <w:bottom w:val="nil"/>
              <w:right w:val="nil"/>
            </w:tcBorders>
            <w:shd w:val="clear" w:color="auto" w:fill="FFF6D7"/>
            <w:tcMar>
              <w:top w:w="15" w:type="dxa"/>
              <w:left w:w="113" w:type="dxa"/>
              <w:bottom w:w="0" w:type="dxa"/>
              <w:right w:w="15" w:type="dxa"/>
            </w:tcMar>
            <w:vAlign w:val="center"/>
            <w:hideMark/>
          </w:tcPr>
          <w:p w:rsidR="00562D3F" w:rsidRPr="005B2C66" w:rsidRDefault="00562D3F" w:rsidP="006579E8">
            <w:pPr>
              <w:spacing w:after="0" w:line="240" w:lineRule="auto"/>
            </w:pPr>
            <w:r w:rsidRPr="005B2C66">
              <w:t>Don't know</w:t>
            </w:r>
          </w:p>
        </w:tc>
        <w:tc>
          <w:tcPr>
            <w:tcW w:w="1560" w:type="dxa"/>
            <w:tcBorders>
              <w:top w:val="nil"/>
              <w:left w:val="nil"/>
              <w:bottom w:val="nil"/>
              <w:right w:val="nil"/>
            </w:tcBorders>
            <w:shd w:val="clear" w:color="auto" w:fill="FFF6D7"/>
            <w:tcMar>
              <w:top w:w="15" w:type="dxa"/>
              <w:left w:w="15" w:type="dxa"/>
              <w:bottom w:w="0" w:type="dxa"/>
              <w:right w:w="567" w:type="dxa"/>
            </w:tcMar>
            <w:vAlign w:val="center"/>
            <w:hideMark/>
          </w:tcPr>
          <w:p w:rsidR="00562D3F" w:rsidRPr="005B2C66" w:rsidRDefault="00562D3F" w:rsidP="006579E8">
            <w:pPr>
              <w:spacing w:after="0" w:line="240" w:lineRule="auto"/>
            </w:pPr>
            <w:r w:rsidRPr="005B2C66">
              <w:t>19%</w:t>
            </w:r>
          </w:p>
        </w:tc>
      </w:tr>
    </w:tbl>
    <w:p w:rsidR="00562D3F" w:rsidRDefault="00562D3F" w:rsidP="00562D3F">
      <w:pPr>
        <w:spacing w:after="0" w:line="240" w:lineRule="auto"/>
      </w:pPr>
    </w:p>
    <w:p w:rsidR="00EE5DE7" w:rsidRPr="005A0A18" w:rsidRDefault="00BE6346" w:rsidP="00562D3F">
      <w:pPr>
        <w:spacing w:after="0" w:line="240" w:lineRule="auto"/>
        <w:rPr>
          <w:rStyle w:val="Emphasis"/>
          <w:sz w:val="20"/>
          <w:szCs w:val="20"/>
        </w:rPr>
      </w:pPr>
      <w:r w:rsidRPr="00BE6346">
        <w:rPr>
          <w:sz w:val="20"/>
          <w:szCs w:val="20"/>
        </w:rPr>
        <w:t>Base: All respondents (n=1000).</w:t>
      </w:r>
      <w:r w:rsidR="00EE5DE7">
        <w:rPr>
          <w:sz w:val="20"/>
          <w:szCs w:val="20"/>
        </w:rPr>
        <w:t xml:space="preserve"> </w:t>
      </w:r>
      <w:r w:rsidR="007807AF">
        <w:rPr>
          <w:sz w:val="20"/>
          <w:szCs w:val="20"/>
        </w:rPr>
        <w:t>#</w:t>
      </w:r>
      <w:r w:rsidR="00EE5DE7" w:rsidRPr="005A0A18">
        <w:rPr>
          <w:rStyle w:val="Emphasis"/>
          <w:sz w:val="20"/>
          <w:szCs w:val="20"/>
        </w:rPr>
        <w:t xml:space="preserve">Responses </w:t>
      </w:r>
      <w:r w:rsidR="00103065">
        <w:rPr>
          <w:rStyle w:val="Emphasis"/>
          <w:sz w:val="20"/>
          <w:szCs w:val="20"/>
        </w:rPr>
        <w:t xml:space="preserve">are </w:t>
      </w:r>
      <w:r w:rsidR="00EE5DE7" w:rsidRPr="005A0A18">
        <w:rPr>
          <w:rStyle w:val="Emphasis"/>
          <w:sz w:val="20"/>
          <w:szCs w:val="20"/>
        </w:rPr>
        <w:t>not mutually exclusive.</w:t>
      </w:r>
    </w:p>
    <w:p w:rsidR="00EF0FC5" w:rsidRDefault="00EF0FC5" w:rsidP="00562D3F">
      <w:pPr>
        <w:spacing w:after="0" w:line="240" w:lineRule="auto"/>
      </w:pPr>
    </w:p>
    <w:p w:rsidR="00EF0FC5" w:rsidRDefault="00EF0FC5" w:rsidP="00562D3F">
      <w:pPr>
        <w:spacing w:after="0" w:line="240" w:lineRule="auto"/>
      </w:pPr>
    </w:p>
    <w:p w:rsidR="00C54B8C" w:rsidRDefault="00C54B8C" w:rsidP="00C54B8C">
      <w:pPr>
        <w:tabs>
          <w:tab w:val="left" w:pos="720"/>
          <w:tab w:val="left" w:pos="1440"/>
          <w:tab w:val="left" w:pos="2160"/>
          <w:tab w:val="left" w:pos="2880"/>
        </w:tabs>
        <w:rPr>
          <w:noProof/>
          <w:lang w:eastAsia="en-AU"/>
        </w:rPr>
      </w:pPr>
      <w:r>
        <w:rPr>
          <w:noProof/>
          <w:lang w:eastAsia="en-AU"/>
        </w:rPr>
        <w:t xml:space="preserve">Verbatim responses included: </w:t>
      </w:r>
    </w:p>
    <w:p w:rsidR="00562D3F" w:rsidRPr="005B2C66" w:rsidRDefault="00562D3F" w:rsidP="00876881">
      <w:pPr>
        <w:pStyle w:val="Quote"/>
        <w:spacing w:after="0"/>
        <w:ind w:left="567" w:right="368"/>
      </w:pPr>
      <w:r w:rsidRPr="005B2C66">
        <w:t xml:space="preserve">A star system will be introduced on product packaging.  </w:t>
      </w:r>
      <w:r w:rsidR="00157A8B">
        <w:t>T</w:t>
      </w:r>
      <w:r w:rsidRPr="005B2C66">
        <w:t>he more stars the healthier the product</w:t>
      </w:r>
      <w:r w:rsidR="00876881">
        <w:t>.</w:t>
      </w:r>
    </w:p>
    <w:p w:rsidR="00C54B8C" w:rsidRDefault="00C54B8C" w:rsidP="00876881">
      <w:pPr>
        <w:spacing w:after="0" w:line="240" w:lineRule="auto"/>
        <w:ind w:left="567" w:right="368"/>
      </w:pPr>
    </w:p>
    <w:p w:rsidR="00562D3F" w:rsidRPr="005B2C66" w:rsidRDefault="00562D3F" w:rsidP="00876881">
      <w:pPr>
        <w:pStyle w:val="Quote"/>
        <w:spacing w:after="0"/>
        <w:ind w:left="567" w:right="368"/>
      </w:pPr>
      <w:r w:rsidRPr="005B2C66">
        <w:t>Eat healthy - more stars the better</w:t>
      </w:r>
      <w:r w:rsidR="00876881">
        <w:t>.</w:t>
      </w:r>
    </w:p>
    <w:p w:rsidR="00C54B8C" w:rsidRDefault="00C54B8C" w:rsidP="00876881">
      <w:pPr>
        <w:pStyle w:val="Quote"/>
        <w:spacing w:after="0"/>
        <w:ind w:left="567" w:right="368"/>
      </w:pPr>
    </w:p>
    <w:p w:rsidR="00562D3F" w:rsidRPr="005B2C66" w:rsidRDefault="00562D3F" w:rsidP="00876881">
      <w:pPr>
        <w:pStyle w:val="Quote"/>
        <w:spacing w:after="0"/>
        <w:ind w:left="567" w:right="368"/>
      </w:pPr>
      <w:r w:rsidRPr="005B2C66">
        <w:t>Explaining the Heath Star system and how you can use it to choose healthier food choices</w:t>
      </w:r>
      <w:r w:rsidR="00876881">
        <w:t>.</w:t>
      </w:r>
    </w:p>
    <w:p w:rsidR="00C54B8C" w:rsidRDefault="00C54B8C" w:rsidP="00876881">
      <w:pPr>
        <w:pStyle w:val="Quote"/>
        <w:spacing w:after="0"/>
        <w:ind w:left="567" w:right="368"/>
      </w:pPr>
    </w:p>
    <w:p w:rsidR="00562D3F" w:rsidRPr="005B2C66" w:rsidRDefault="00562D3F" w:rsidP="00876881">
      <w:pPr>
        <w:pStyle w:val="Quote"/>
        <w:spacing w:after="0"/>
        <w:ind w:left="567" w:right="368"/>
      </w:pPr>
      <w:r w:rsidRPr="005B2C66">
        <w:t xml:space="preserve">It easily shows you </w:t>
      </w:r>
      <w:proofErr w:type="gramStart"/>
      <w:r w:rsidRPr="005B2C66">
        <w:t>what is the healthiest item to cho</w:t>
      </w:r>
      <w:r w:rsidR="00157A8B">
        <w:t>o</w:t>
      </w:r>
      <w:r w:rsidRPr="005B2C66">
        <w:t>se from a selection and compare without having to read the nutrition info on the back</w:t>
      </w:r>
      <w:proofErr w:type="gramEnd"/>
      <w:r w:rsidR="00876881">
        <w:t>.</w:t>
      </w:r>
    </w:p>
    <w:p w:rsidR="00C54B8C" w:rsidRDefault="00C54B8C" w:rsidP="00562D3F">
      <w:pPr>
        <w:spacing w:after="0" w:line="240" w:lineRule="auto"/>
      </w:pPr>
    </w:p>
    <w:p w:rsidR="00562D3F" w:rsidRDefault="00562D3F" w:rsidP="00562D3F">
      <w:pPr>
        <w:spacing w:after="0" w:line="240" w:lineRule="auto"/>
      </w:pPr>
    </w:p>
    <w:p w:rsidR="00270839" w:rsidRDefault="00270839">
      <w:pPr>
        <w:spacing w:after="0" w:line="240" w:lineRule="auto"/>
        <w:rPr>
          <w:rFonts w:cs="Arial"/>
          <w:bCs/>
          <w:iCs/>
          <w:color w:val="5D0907"/>
          <w:sz w:val="28"/>
          <w:szCs w:val="28"/>
        </w:rPr>
      </w:pPr>
      <w:r>
        <w:br w:type="page"/>
      </w:r>
    </w:p>
    <w:p w:rsidR="00545AA1" w:rsidRDefault="00545AA1" w:rsidP="00545AA1">
      <w:pPr>
        <w:pStyle w:val="Heading2"/>
      </w:pPr>
      <w:bookmarkStart w:id="28" w:name="_Toc435088773"/>
      <w:r>
        <w:lastRenderedPageBreak/>
        <w:t>Call to Action</w:t>
      </w:r>
      <w:bookmarkEnd w:id="28"/>
    </w:p>
    <w:p w:rsidR="00545AA1" w:rsidRDefault="00545AA1" w:rsidP="00545AA1">
      <w:r>
        <w:t xml:space="preserve">The campaign has had a very impressive call to action result, with </w:t>
      </w:r>
      <w:r w:rsidR="00562D3F" w:rsidRPr="005B2C66">
        <w:t>7</w:t>
      </w:r>
      <w:r>
        <w:t xml:space="preserve">7% of campaign recognisers </w:t>
      </w:r>
      <w:r w:rsidR="004E006A">
        <w:t>agreeing that</w:t>
      </w:r>
      <w:r w:rsidR="004E006A" w:rsidRPr="005B2C66">
        <w:t xml:space="preserve"> </w:t>
      </w:r>
      <w:r w:rsidR="00562D3F" w:rsidRPr="005B2C66">
        <w:t xml:space="preserve">they have done </w:t>
      </w:r>
      <w:r>
        <w:t>at least one of the action</w:t>
      </w:r>
      <w:r w:rsidR="00A66F8E">
        <w:t>s suggested by</w:t>
      </w:r>
      <w:r w:rsidR="00562D3F" w:rsidRPr="005B2C66">
        <w:t xml:space="preserve"> the campaign</w:t>
      </w:r>
      <w:r w:rsidR="00562D3F">
        <w:t xml:space="preserve">. </w:t>
      </w:r>
      <w:r>
        <w:t>With only 23% of campaign recognisers stating they have done ‘none of these’, the majority have engaged in such activities as ‘used the HSR in store</w:t>
      </w:r>
      <w:r w:rsidR="003D4B54">
        <w:t>’</w:t>
      </w:r>
      <w:r>
        <w:t xml:space="preserve"> (37%), </w:t>
      </w:r>
      <w:r w:rsidR="003D4B54">
        <w:t>‘</w:t>
      </w:r>
      <w:r>
        <w:t>tried to eat healthier</w:t>
      </w:r>
      <w:r w:rsidR="003D4B54">
        <w:t>’</w:t>
      </w:r>
      <w:r>
        <w:t xml:space="preserve"> (30%) and/or ‘used the HSR to compare products at the supermarket</w:t>
      </w:r>
      <w:r w:rsidR="003D4B54">
        <w:t>’</w:t>
      </w:r>
      <w:r>
        <w:t xml:space="preserve"> (29%). </w:t>
      </w:r>
      <w:r w:rsidR="00A66F8E">
        <w:t>(</w:t>
      </w:r>
      <w:r>
        <w:t>Obviously</w:t>
      </w:r>
      <w:r w:rsidR="00EF0FC5">
        <w:t>,</w:t>
      </w:r>
      <w:r>
        <w:t xml:space="preserve"> there is some overlap between these statements</w:t>
      </w:r>
      <w:r w:rsidR="00EE5DE7">
        <w:t>, and responses are not mutually exclusive.)</w:t>
      </w:r>
    </w:p>
    <w:p w:rsidR="00562D3F" w:rsidRPr="004E006A" w:rsidRDefault="00545AA1" w:rsidP="00342087">
      <w:pPr>
        <w:pStyle w:val="Caption"/>
        <w:rPr>
          <w:i/>
        </w:rPr>
      </w:pPr>
      <w:r w:rsidRPr="00BE6346">
        <w:t xml:space="preserve">Figure </w:t>
      </w:r>
      <w:r w:rsidR="009D5B09" w:rsidRPr="00BE6346">
        <w:t>12</w:t>
      </w:r>
      <w:r w:rsidR="00BE6346" w:rsidRPr="00BE6346">
        <w:t xml:space="preserve"> - After seeing this advertising, which of the below did you do?</w:t>
      </w:r>
      <w:r w:rsidR="004E006A">
        <w:t xml:space="preserve"> </w:t>
      </w:r>
    </w:p>
    <w:p w:rsidR="00562D3F" w:rsidRDefault="00562D3F" w:rsidP="00562D3F">
      <w:pPr>
        <w:spacing w:after="0" w:line="240" w:lineRule="auto"/>
      </w:pPr>
      <w:r w:rsidRPr="005B2C66">
        <w:rPr>
          <w:noProof/>
          <w:lang w:eastAsia="en-AU"/>
        </w:rPr>
        <w:drawing>
          <wp:inline distT="0" distB="0" distL="0" distR="0" wp14:anchorId="7D904D35" wp14:editId="23EEDFBE">
            <wp:extent cx="5273749" cy="3487479"/>
            <wp:effectExtent l="0" t="0" r="22225" b="17780"/>
            <wp:docPr id="41" name="Chart 41" descr="Figure 12 is a horizontal bar chart which shows what people reported doing after seeing a HSR advertisement. The results are also discussed in the paragraph preceding the chart. An obvious trend in the chart is that those who had seen the campaign are significantly more likely across every measure to engage in one of the ‘call to action’ behaviours relating to the campaign. They were also significantly less likely to say that they had not engaged in any of the behaviours. &#10;The following detailed results compare proportions amongst all respondents with those who were campaign recognisers respectively.   &#10;Used the Health Star Rating in store, 4% vs 37%; Tried to eat healthier, 3% vs 30%; Used the Health Star Rating to compare products at the supermarket, 3% vs 29%; Thought more about nutrition when buying food at the supermarket, 2% vs 22%; Talked to a friend, family or work colleague about the Health Star Rating, 1% vs 15%; Looked for information about the Health Star Rating, 1% vs 12%; Visited the Health Star Rating website, 1% vs 8%; Other, 0% and 0%;and, None of these, 85% vs 23%. &#10;" title="Figure 12 - After seeing this advertising, which of the below did you do? "/>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62D3F" w:rsidRPr="00BE6346" w:rsidRDefault="00BE6346" w:rsidP="00562D3F">
      <w:pPr>
        <w:spacing w:after="0" w:line="240" w:lineRule="auto"/>
        <w:rPr>
          <w:bCs/>
          <w:sz w:val="20"/>
          <w:szCs w:val="20"/>
        </w:rPr>
      </w:pPr>
      <w:r w:rsidRPr="00BE6346">
        <w:rPr>
          <w:bCs/>
          <w:sz w:val="20"/>
          <w:szCs w:val="20"/>
        </w:rPr>
        <w:t xml:space="preserve">Base: </w:t>
      </w:r>
      <w:r w:rsidR="00BD47B3">
        <w:rPr>
          <w:bCs/>
          <w:sz w:val="20"/>
          <w:szCs w:val="20"/>
        </w:rPr>
        <w:t xml:space="preserve">campaign recognisers </w:t>
      </w:r>
      <w:r w:rsidRPr="00BE6346">
        <w:rPr>
          <w:bCs/>
          <w:sz w:val="20"/>
          <w:szCs w:val="20"/>
        </w:rPr>
        <w:t>(n=1</w:t>
      </w:r>
      <w:r w:rsidR="00BD47B3">
        <w:rPr>
          <w:bCs/>
          <w:sz w:val="20"/>
          <w:szCs w:val="20"/>
        </w:rPr>
        <w:t>93</w:t>
      </w:r>
      <w:r w:rsidRPr="00BE6346">
        <w:rPr>
          <w:bCs/>
          <w:sz w:val="20"/>
          <w:szCs w:val="20"/>
        </w:rPr>
        <w:t>).</w:t>
      </w:r>
    </w:p>
    <w:p w:rsidR="00BE6346" w:rsidRDefault="00BE6346" w:rsidP="00562D3F">
      <w:pPr>
        <w:spacing w:after="0" w:line="240" w:lineRule="auto"/>
        <w:rPr>
          <w:b/>
          <w:bCs/>
        </w:rPr>
      </w:pPr>
    </w:p>
    <w:p w:rsidR="00A66F8E" w:rsidRDefault="00562D3F" w:rsidP="00734C2F">
      <w:pPr>
        <w:spacing w:after="0" w:line="240" w:lineRule="auto"/>
        <w:rPr>
          <w:bCs/>
        </w:rPr>
      </w:pPr>
      <w:r w:rsidRPr="00AC42AD">
        <w:rPr>
          <w:bCs/>
        </w:rPr>
        <w:t xml:space="preserve">The </w:t>
      </w:r>
      <w:r w:rsidR="00F30067" w:rsidRPr="00AC42AD">
        <w:rPr>
          <w:bCs/>
        </w:rPr>
        <w:t>different elements</w:t>
      </w:r>
      <w:r w:rsidR="00545AA1" w:rsidRPr="00AC42AD">
        <w:rPr>
          <w:bCs/>
        </w:rPr>
        <w:t xml:space="preserve"> of the campaign </w:t>
      </w:r>
      <w:r w:rsidR="00A66F8E">
        <w:rPr>
          <w:bCs/>
        </w:rPr>
        <w:t>a</w:t>
      </w:r>
      <w:r w:rsidR="00CA6409">
        <w:rPr>
          <w:bCs/>
        </w:rPr>
        <w:t>ppear to be</w:t>
      </w:r>
      <w:r w:rsidR="00F7078B">
        <w:rPr>
          <w:bCs/>
        </w:rPr>
        <w:t xml:space="preserve"> </w:t>
      </w:r>
      <w:r w:rsidR="00086DB1">
        <w:rPr>
          <w:bCs/>
        </w:rPr>
        <w:t xml:space="preserve">driving </w:t>
      </w:r>
      <w:r w:rsidR="00086DB1" w:rsidRPr="00AC42AD">
        <w:rPr>
          <w:bCs/>
        </w:rPr>
        <w:t>different</w:t>
      </w:r>
      <w:r w:rsidR="00545AA1" w:rsidRPr="00AC42AD">
        <w:rPr>
          <w:bCs/>
        </w:rPr>
        <w:t xml:space="preserve"> </w:t>
      </w:r>
      <w:r w:rsidR="00A66F8E">
        <w:rPr>
          <w:bCs/>
        </w:rPr>
        <w:t>behaviours relating to the campaign:</w:t>
      </w:r>
      <w:r w:rsidRPr="00AC42AD">
        <w:rPr>
          <w:bCs/>
        </w:rPr>
        <w:t xml:space="preserve"> </w:t>
      </w:r>
    </w:p>
    <w:p w:rsidR="00A66F8E" w:rsidRPr="00A66F8E" w:rsidRDefault="00AC42AD" w:rsidP="000541C7">
      <w:pPr>
        <w:pStyle w:val="ListParagraph"/>
        <w:numPr>
          <w:ilvl w:val="0"/>
          <w:numId w:val="12"/>
        </w:numPr>
        <w:spacing w:after="0" w:line="240" w:lineRule="auto"/>
        <w:rPr>
          <w:bCs/>
        </w:rPr>
      </w:pPr>
      <w:r w:rsidRPr="00A66F8E">
        <w:rPr>
          <w:bCs/>
        </w:rPr>
        <w:t>T</w:t>
      </w:r>
      <w:r w:rsidR="00545AA1" w:rsidRPr="00A66F8E">
        <w:rPr>
          <w:bCs/>
        </w:rPr>
        <w:t>he p</w:t>
      </w:r>
      <w:r w:rsidR="00562D3F" w:rsidRPr="00A66F8E">
        <w:rPr>
          <w:bCs/>
        </w:rPr>
        <w:t xml:space="preserve">re roll </w:t>
      </w:r>
      <w:r w:rsidR="00A6020D" w:rsidRPr="00A66F8E">
        <w:rPr>
          <w:bCs/>
        </w:rPr>
        <w:t xml:space="preserve">video </w:t>
      </w:r>
      <w:r w:rsidR="00562D3F" w:rsidRPr="00A66F8E">
        <w:rPr>
          <w:bCs/>
        </w:rPr>
        <w:t xml:space="preserve">has </w:t>
      </w:r>
      <w:r w:rsidR="00545AA1" w:rsidRPr="00A66F8E">
        <w:rPr>
          <w:bCs/>
        </w:rPr>
        <w:t xml:space="preserve">been the primary driver of campaign </w:t>
      </w:r>
      <w:r w:rsidR="00562D3F" w:rsidRPr="00A66F8E">
        <w:rPr>
          <w:bCs/>
        </w:rPr>
        <w:t>recall</w:t>
      </w:r>
      <w:r w:rsidR="00811414">
        <w:rPr>
          <w:bCs/>
        </w:rPr>
        <w:t xml:space="preserve"> (15% of total sample)</w:t>
      </w:r>
      <w:r w:rsidR="00562D3F" w:rsidRPr="00A66F8E">
        <w:rPr>
          <w:bCs/>
        </w:rPr>
        <w:t xml:space="preserve">, </w:t>
      </w:r>
      <w:r w:rsidRPr="00A66F8E">
        <w:rPr>
          <w:bCs/>
        </w:rPr>
        <w:t xml:space="preserve">as well as helping drive usage of the </w:t>
      </w:r>
      <w:r w:rsidR="00562D3F" w:rsidRPr="00AC42AD">
        <w:t xml:space="preserve">Health Star Rating to </w:t>
      </w:r>
      <w:r w:rsidR="00562D3F" w:rsidRPr="00A66F8E">
        <w:rPr>
          <w:u w:val="single"/>
        </w:rPr>
        <w:t>compare products</w:t>
      </w:r>
      <w:r w:rsidR="00562D3F" w:rsidRPr="00AC42AD">
        <w:t xml:space="preserve"> at the supermarket</w:t>
      </w:r>
      <w:r w:rsidRPr="00AC42AD">
        <w:t xml:space="preserve"> (31%</w:t>
      </w:r>
      <w:r w:rsidR="00811414">
        <w:t xml:space="preserve"> of those who had seen the pre-roll </w:t>
      </w:r>
      <w:r w:rsidR="00811414" w:rsidRPr="00C1722E">
        <w:t xml:space="preserve">vs. </w:t>
      </w:r>
      <w:r w:rsidR="00811414" w:rsidRPr="00C66D3C">
        <w:t>29</w:t>
      </w:r>
      <w:r w:rsidR="00811414" w:rsidRPr="008D6494">
        <w:t>%</w:t>
      </w:r>
      <w:r w:rsidR="00811414">
        <w:t xml:space="preserve"> at the total campaign level</w:t>
      </w:r>
      <w:r w:rsidRPr="00AC42AD">
        <w:t>)</w:t>
      </w:r>
      <w:r w:rsidR="00545AA1" w:rsidRPr="00AC42AD">
        <w:t xml:space="preserve">. </w:t>
      </w:r>
    </w:p>
    <w:p w:rsidR="00A66F8E" w:rsidRPr="00A66F8E" w:rsidRDefault="00545AA1" w:rsidP="000541C7">
      <w:pPr>
        <w:pStyle w:val="ListParagraph"/>
        <w:numPr>
          <w:ilvl w:val="0"/>
          <w:numId w:val="12"/>
        </w:numPr>
        <w:spacing w:after="0" w:line="240" w:lineRule="auto"/>
        <w:rPr>
          <w:bCs/>
        </w:rPr>
      </w:pPr>
      <w:r w:rsidRPr="00AC42AD">
        <w:t xml:space="preserve">The </w:t>
      </w:r>
      <w:r w:rsidRPr="00A66F8E">
        <w:rPr>
          <w:bCs/>
        </w:rPr>
        <w:t xml:space="preserve">OOH/ </w:t>
      </w:r>
      <w:r w:rsidR="005B2A87" w:rsidRPr="00A66F8E">
        <w:rPr>
          <w:bCs/>
        </w:rPr>
        <w:t>print helped</w:t>
      </w:r>
      <w:r w:rsidRPr="00A66F8E">
        <w:rPr>
          <w:bCs/>
        </w:rPr>
        <w:t xml:space="preserve"> to drive </w:t>
      </w:r>
      <w:r w:rsidR="00AC42AD" w:rsidRPr="00A66F8E">
        <w:rPr>
          <w:bCs/>
        </w:rPr>
        <w:t xml:space="preserve">overall </w:t>
      </w:r>
      <w:r w:rsidRPr="00A66F8E">
        <w:rPr>
          <w:bCs/>
        </w:rPr>
        <w:t>usage of the</w:t>
      </w:r>
      <w:r w:rsidR="00811414">
        <w:rPr>
          <w:bCs/>
        </w:rPr>
        <w:t xml:space="preserve"> system</w:t>
      </w:r>
      <w:r w:rsidRPr="009A678D">
        <w:rPr>
          <w:bCs/>
        </w:rPr>
        <w:t xml:space="preserve">, with people </w:t>
      </w:r>
      <w:r w:rsidR="00562D3F" w:rsidRPr="00AC42AD">
        <w:t xml:space="preserve">who saw these ads </w:t>
      </w:r>
      <w:r w:rsidRPr="00AC42AD">
        <w:t xml:space="preserve">being </w:t>
      </w:r>
      <w:r w:rsidR="00562D3F" w:rsidRPr="00AC42AD">
        <w:t xml:space="preserve">more likely to have used the </w:t>
      </w:r>
      <w:r w:rsidR="00811414">
        <w:t>HSR</w:t>
      </w:r>
      <w:r w:rsidR="00562D3F" w:rsidRPr="00AC42AD">
        <w:t xml:space="preserve"> in store</w:t>
      </w:r>
      <w:r w:rsidR="00811414" w:rsidRPr="00A66F8E">
        <w:rPr>
          <w:bCs/>
        </w:rPr>
        <w:t xml:space="preserve"> (43% among those who saw OOH/print vs. 37% </w:t>
      </w:r>
      <w:r w:rsidR="00811414" w:rsidRPr="005E3077">
        <w:rPr>
          <w:bCs/>
        </w:rPr>
        <w:t>at the overall campaign level</w:t>
      </w:r>
      <w:r w:rsidR="00811414" w:rsidRPr="00AD7714">
        <w:rPr>
          <w:bCs/>
        </w:rPr>
        <w:t>)</w:t>
      </w:r>
      <w:r w:rsidRPr="00AC42AD">
        <w:t xml:space="preserve">. </w:t>
      </w:r>
    </w:p>
    <w:p w:rsidR="00734C2F" w:rsidRPr="00A66F8E" w:rsidRDefault="00545AA1" w:rsidP="000541C7">
      <w:pPr>
        <w:pStyle w:val="ListParagraph"/>
        <w:numPr>
          <w:ilvl w:val="0"/>
          <w:numId w:val="12"/>
        </w:numPr>
        <w:spacing w:after="0" w:line="240" w:lineRule="auto"/>
        <w:rPr>
          <w:bCs/>
        </w:rPr>
      </w:pPr>
      <w:r w:rsidRPr="00AC42AD">
        <w:t>Onlin</w:t>
      </w:r>
      <w:r w:rsidR="00AC42AD" w:rsidRPr="00AC42AD">
        <w:t>e</w:t>
      </w:r>
      <w:r w:rsidR="005A6ADC" w:rsidRPr="00AC42AD">
        <w:t xml:space="preserve"> </w:t>
      </w:r>
      <w:r w:rsidRPr="00AC42AD">
        <w:t>has played a role in</w:t>
      </w:r>
      <w:r w:rsidRPr="00A66F8E">
        <w:rPr>
          <w:bCs/>
        </w:rPr>
        <w:t xml:space="preserve"> driving information seeking and understanding</w:t>
      </w:r>
      <w:r w:rsidR="00EF0FC5" w:rsidRPr="00A66F8E">
        <w:rPr>
          <w:bCs/>
        </w:rPr>
        <w:t>.</w:t>
      </w:r>
      <w:r w:rsidR="00734C2F" w:rsidRPr="00A66F8E">
        <w:rPr>
          <w:bCs/>
        </w:rPr>
        <w:t xml:space="preserve"> </w:t>
      </w:r>
      <w:r w:rsidR="00EF0FC5" w:rsidRPr="00A66F8E">
        <w:rPr>
          <w:bCs/>
        </w:rPr>
        <w:t>T</w:t>
      </w:r>
      <w:r w:rsidR="00562D3F" w:rsidRPr="00AC42AD">
        <w:t>hose who saw the online ad were more likely to have tried to eat healthier</w:t>
      </w:r>
      <w:r w:rsidR="00AC42AD">
        <w:t xml:space="preserve"> </w:t>
      </w:r>
      <w:r w:rsidR="00AC42AD" w:rsidRPr="00AC42AD">
        <w:t>(40% vs. 30% at the campaign level)</w:t>
      </w:r>
      <w:r w:rsidR="00562D3F" w:rsidRPr="00AC42AD">
        <w:t>, talked to a friend, family or work colleague</w:t>
      </w:r>
      <w:r w:rsidR="00EF0FC5" w:rsidRPr="00AC42AD">
        <w:t xml:space="preserve"> about the Health Star Rating</w:t>
      </w:r>
      <w:r w:rsidR="00AC42AD" w:rsidRPr="00AC42AD">
        <w:t xml:space="preserve"> (24% vs. 15% at the campaign level)</w:t>
      </w:r>
      <w:r w:rsidR="00EF0FC5" w:rsidRPr="00AC42AD">
        <w:t>, l</w:t>
      </w:r>
      <w:r w:rsidR="00562D3F" w:rsidRPr="00AC42AD">
        <w:t>ooked for information about the Health Star Rating</w:t>
      </w:r>
      <w:r w:rsidR="00AC42AD" w:rsidRPr="00AC42AD">
        <w:t xml:space="preserve"> (20% vs. 12% at the campaign level)</w:t>
      </w:r>
      <w:r w:rsidR="00562D3F" w:rsidRPr="00AC42AD">
        <w:t xml:space="preserve"> </w:t>
      </w:r>
      <w:r w:rsidR="00562D3F" w:rsidRPr="00AC42AD">
        <w:lastRenderedPageBreak/>
        <w:t>and visited the Health Star Rating website</w:t>
      </w:r>
      <w:r w:rsidR="00AC42AD" w:rsidRPr="00AC42AD">
        <w:t>18% vs. 8% at the campaign level)</w:t>
      </w:r>
      <w:r w:rsidR="00734C2F" w:rsidRPr="00AC42AD">
        <w:t>.</w:t>
      </w:r>
    </w:p>
    <w:p w:rsidR="005B2C66" w:rsidRPr="00734C2F" w:rsidRDefault="00384195" w:rsidP="00734C2F">
      <w:pPr>
        <w:pStyle w:val="Heading2"/>
      </w:pPr>
      <w:bookmarkStart w:id="29" w:name="_Toc435088774"/>
      <w:r w:rsidRPr="00384195">
        <w:t>Areas for improvement</w:t>
      </w:r>
      <w:bookmarkEnd w:id="29"/>
    </w:p>
    <w:p w:rsidR="005B2C66" w:rsidRPr="00052E2B" w:rsidRDefault="00052E2B" w:rsidP="005B2C66">
      <w:pPr>
        <w:spacing w:after="0" w:line="240" w:lineRule="auto"/>
      </w:pPr>
      <w:r>
        <w:t>T</w:t>
      </w:r>
      <w:r w:rsidR="005B2C66" w:rsidRPr="00052E2B">
        <w:t xml:space="preserve">here is </w:t>
      </w:r>
      <w:r w:rsidR="00A6020D">
        <w:t xml:space="preserve">some level of </w:t>
      </w:r>
      <w:r w:rsidR="005B2C66" w:rsidRPr="00052E2B">
        <w:t xml:space="preserve">confusion </w:t>
      </w:r>
      <w:r>
        <w:t xml:space="preserve">among respondents regarding </w:t>
      </w:r>
      <w:r w:rsidR="005B2C66" w:rsidRPr="00052E2B">
        <w:t xml:space="preserve">who is behind this campaign, </w:t>
      </w:r>
      <w:r>
        <w:t>whic</w:t>
      </w:r>
      <w:r w:rsidR="00697179">
        <w:t xml:space="preserve">h </w:t>
      </w:r>
      <w:r w:rsidR="00F30067">
        <w:t xml:space="preserve">may be affecting the perception of </w:t>
      </w:r>
      <w:r w:rsidR="005B2C66" w:rsidRPr="00052E2B">
        <w:t>the overall</w:t>
      </w:r>
      <w:r w:rsidR="009C05EB">
        <w:t xml:space="preserve"> </w:t>
      </w:r>
      <w:r w:rsidR="005B2C66" w:rsidRPr="00052E2B">
        <w:t xml:space="preserve">role </w:t>
      </w:r>
      <w:r>
        <w:t xml:space="preserve">and message </w:t>
      </w:r>
      <w:r w:rsidR="005B2C66" w:rsidRPr="00052E2B">
        <w:t>of the campaign.</w:t>
      </w:r>
      <w:r>
        <w:t xml:space="preserve"> </w:t>
      </w:r>
    </w:p>
    <w:p w:rsidR="005B2C66" w:rsidRDefault="005B2C66">
      <w:pPr>
        <w:spacing w:after="0" w:line="240" w:lineRule="auto"/>
      </w:pPr>
    </w:p>
    <w:p w:rsidR="005E3077" w:rsidRDefault="005B2C66" w:rsidP="005A6ADC">
      <w:pPr>
        <w:spacing w:after="360" w:line="240" w:lineRule="auto"/>
      </w:pPr>
      <w:r w:rsidRPr="005B2C66">
        <w:t xml:space="preserve">People generally do not know who </w:t>
      </w:r>
      <w:r w:rsidR="00F30067">
        <w:t>is responsible for the</w:t>
      </w:r>
      <w:r w:rsidRPr="005B2C66">
        <w:t xml:space="preserve"> advertising</w:t>
      </w:r>
      <w:r>
        <w:t xml:space="preserve">. </w:t>
      </w:r>
      <w:r w:rsidR="00052E2B">
        <w:t>When asked ‘</w:t>
      </w:r>
      <w:r w:rsidR="007919C3">
        <w:t>W</w:t>
      </w:r>
      <w:r w:rsidR="00052E2B">
        <w:t>ho is this advertising from</w:t>
      </w:r>
      <w:r w:rsidR="004E006A">
        <w:t>?</w:t>
      </w:r>
      <w:r w:rsidR="00052E2B">
        <w:t>’</w:t>
      </w:r>
      <w:r w:rsidR="005E3077">
        <w:t xml:space="preserve"> (the advertising materials were not on screen at th</w:t>
      </w:r>
      <w:r w:rsidR="00CA6409">
        <w:t>is point in the survey</w:t>
      </w:r>
      <w:r w:rsidR="005E3077">
        <w:t>)</w:t>
      </w:r>
      <w:r w:rsidR="00052E2B">
        <w:t xml:space="preserve"> 66% state they </w:t>
      </w:r>
      <w:r w:rsidR="00F30067">
        <w:t>‘</w:t>
      </w:r>
      <w:r w:rsidR="00052E2B">
        <w:t>don’t know</w:t>
      </w:r>
      <w:r w:rsidR="00F30067">
        <w:t>’</w:t>
      </w:r>
      <w:r w:rsidR="00052E2B">
        <w:t>, with  16% stating ‘The Government’ and a further 8% s</w:t>
      </w:r>
      <w:r w:rsidR="00F30067">
        <w:t>uggesting</w:t>
      </w:r>
      <w:r w:rsidR="00052E2B">
        <w:t xml:space="preserve"> some sort of ‘Health Star Rating body/ organisation</w:t>
      </w:r>
      <w:r w:rsidR="00A40A4C">
        <w:t>’</w:t>
      </w:r>
      <w:r w:rsidR="00052E2B">
        <w:t>.</w:t>
      </w:r>
      <w:r w:rsidR="00A6020D">
        <w:t xml:space="preserve"> </w:t>
      </w:r>
    </w:p>
    <w:p w:rsidR="00613192" w:rsidRDefault="00EA2F49" w:rsidP="005A6ADC">
      <w:pPr>
        <w:spacing w:after="360" w:line="240" w:lineRule="auto"/>
      </w:pPr>
      <w:r>
        <w:t xml:space="preserve">The HSR is branded as “A Joint Australian, state and territory Government initiative in partnership with industry”, which is a complex </w:t>
      </w:r>
      <w:r w:rsidR="001E1E99">
        <w:t xml:space="preserve">statement (and </w:t>
      </w:r>
      <w:r>
        <w:t>concept</w:t>
      </w:r>
      <w:r w:rsidR="001E1E99">
        <w:t>)</w:t>
      </w:r>
      <w:r>
        <w:t xml:space="preserve"> to recall accurately, and may have led some respondents to select ‘don’t know’ in response to this question.  In addition, the campaign elements each carried</w:t>
      </w:r>
      <w:r w:rsidR="005E3077">
        <w:t xml:space="preserve"> Federal Government advertising authorisation statements and the website </w:t>
      </w:r>
      <w:r>
        <w:t>with a</w:t>
      </w:r>
      <w:r w:rsidR="005E3077">
        <w:t xml:space="preserve"> “.gov.au” domain name</w:t>
      </w:r>
      <w:r>
        <w:t xml:space="preserve">, which may explain attribution </w:t>
      </w:r>
      <w:r w:rsidR="00D57DD5">
        <w:t xml:space="preserve">solely </w:t>
      </w:r>
      <w:r>
        <w:t xml:space="preserve">to ‘Government’.  Reassuringly, the level of misattribution to brands or other organisations is very low, as seen in Table 6 below.  </w:t>
      </w:r>
    </w:p>
    <w:p w:rsidR="00613192" w:rsidRPr="00270839" w:rsidRDefault="00613192" w:rsidP="005A6ADC">
      <w:pPr>
        <w:pStyle w:val="Caption"/>
      </w:pPr>
      <w:r w:rsidRPr="00270839">
        <w:t>Table 6</w:t>
      </w:r>
      <w:r w:rsidR="00BE6346" w:rsidRPr="00270839">
        <w:t xml:space="preserve"> - Thinking of all of the ads you’ve just seen, who is this advertising from?</w:t>
      </w:r>
    </w:p>
    <w:p w:rsidR="005B2C66" w:rsidRPr="00270839" w:rsidRDefault="005B2C66" w:rsidP="005A6ADC">
      <w:pPr>
        <w:pStyle w:val="Caption"/>
        <w:rPr>
          <w:i/>
        </w:rPr>
      </w:pPr>
      <w:r w:rsidRPr="00270839">
        <w:rPr>
          <w:i/>
        </w:rPr>
        <w:t>Open Ended Response: Coded %</w:t>
      </w:r>
    </w:p>
    <w:tbl>
      <w:tblPr>
        <w:tblW w:w="7060" w:type="dxa"/>
        <w:tblCellMar>
          <w:left w:w="0" w:type="dxa"/>
          <w:right w:w="0" w:type="dxa"/>
        </w:tblCellMar>
        <w:tblLook w:val="0420" w:firstRow="1" w:lastRow="0" w:firstColumn="0" w:lastColumn="0" w:noHBand="0" w:noVBand="1"/>
      </w:tblPr>
      <w:tblGrid>
        <w:gridCol w:w="5500"/>
        <w:gridCol w:w="1560"/>
      </w:tblGrid>
      <w:tr w:rsidR="005B2C66" w:rsidRPr="005B2C66" w:rsidTr="00E6724B">
        <w:trPr>
          <w:trHeight w:val="397"/>
        </w:trPr>
        <w:tc>
          <w:tcPr>
            <w:tcW w:w="5500" w:type="dxa"/>
            <w:tcBorders>
              <w:top w:val="nil"/>
              <w:left w:val="nil"/>
              <w:bottom w:val="single" w:sz="4" w:space="0" w:color="auto"/>
              <w:right w:val="nil"/>
            </w:tcBorders>
            <w:shd w:val="clear" w:color="auto" w:fill="auto"/>
            <w:tcMar>
              <w:top w:w="72" w:type="dxa"/>
              <w:left w:w="15" w:type="dxa"/>
              <w:bottom w:w="170" w:type="dxa"/>
              <w:right w:w="144" w:type="dxa"/>
            </w:tcMar>
            <w:vAlign w:val="bottom"/>
            <w:hideMark/>
          </w:tcPr>
          <w:p w:rsidR="00ED176A" w:rsidRPr="00E6724B" w:rsidRDefault="005B2C66" w:rsidP="005B2C66">
            <w:pPr>
              <w:spacing w:after="0" w:line="240" w:lineRule="auto"/>
              <w:rPr>
                <w:color w:val="000000" w:themeColor="text1"/>
              </w:rPr>
            </w:pPr>
            <w:r w:rsidRPr="00E6724B">
              <w:rPr>
                <w:bCs/>
                <w:color w:val="000000" w:themeColor="text1"/>
              </w:rPr>
              <w:t>Responses</w:t>
            </w:r>
          </w:p>
        </w:tc>
        <w:tc>
          <w:tcPr>
            <w:tcW w:w="1560" w:type="dxa"/>
            <w:tcBorders>
              <w:top w:val="nil"/>
              <w:left w:val="nil"/>
              <w:bottom w:val="single" w:sz="4" w:space="0" w:color="auto"/>
              <w:right w:val="nil"/>
            </w:tcBorders>
            <w:shd w:val="clear" w:color="auto" w:fill="auto"/>
            <w:tcMar>
              <w:top w:w="72" w:type="dxa"/>
              <w:left w:w="144" w:type="dxa"/>
              <w:bottom w:w="170" w:type="dxa"/>
              <w:right w:w="144" w:type="dxa"/>
            </w:tcMar>
            <w:vAlign w:val="bottom"/>
            <w:hideMark/>
          </w:tcPr>
          <w:p w:rsidR="00ED176A" w:rsidRPr="00E6724B" w:rsidRDefault="005B2C66" w:rsidP="00BD47B3">
            <w:pPr>
              <w:spacing w:after="0" w:line="240" w:lineRule="auto"/>
              <w:jc w:val="center"/>
              <w:rPr>
                <w:color w:val="000000" w:themeColor="text1"/>
              </w:rPr>
            </w:pPr>
            <w:r w:rsidRPr="00E6724B">
              <w:rPr>
                <w:bCs/>
                <w:color w:val="000000" w:themeColor="text1"/>
              </w:rPr>
              <w:t>Total Sample</w:t>
            </w:r>
          </w:p>
        </w:tc>
      </w:tr>
      <w:tr w:rsidR="005B2C66" w:rsidRPr="005B2C66" w:rsidTr="00E6724B">
        <w:trPr>
          <w:trHeight w:val="20"/>
        </w:trPr>
        <w:tc>
          <w:tcPr>
            <w:tcW w:w="5500" w:type="dxa"/>
            <w:tcBorders>
              <w:top w:val="single" w:sz="4" w:space="0" w:color="auto"/>
              <w:left w:val="nil"/>
              <w:bottom w:val="nil"/>
              <w:right w:val="nil"/>
            </w:tcBorders>
            <w:shd w:val="clear" w:color="auto" w:fill="FFF6D7"/>
            <w:tcMar>
              <w:top w:w="15" w:type="dxa"/>
              <w:left w:w="113" w:type="dxa"/>
              <w:bottom w:w="0" w:type="dxa"/>
              <w:right w:w="15" w:type="dxa"/>
            </w:tcMar>
            <w:vAlign w:val="center"/>
            <w:hideMark/>
          </w:tcPr>
          <w:p w:rsidR="00ED176A" w:rsidRPr="00EE2A31" w:rsidRDefault="005B2C66" w:rsidP="00EE2A31">
            <w:pPr>
              <w:rPr>
                <w:bCs/>
                <w:color w:val="000000" w:themeColor="text1"/>
              </w:rPr>
            </w:pPr>
            <w:r w:rsidRPr="00EE2A31">
              <w:rPr>
                <w:bCs/>
                <w:color w:val="000000" w:themeColor="text1"/>
              </w:rPr>
              <w:t>Don’t know</w:t>
            </w:r>
          </w:p>
        </w:tc>
        <w:tc>
          <w:tcPr>
            <w:tcW w:w="1560" w:type="dxa"/>
            <w:tcBorders>
              <w:top w:val="single" w:sz="4" w:space="0" w:color="auto"/>
              <w:left w:val="nil"/>
              <w:bottom w:val="nil"/>
              <w:right w:val="nil"/>
            </w:tcBorders>
            <w:shd w:val="clear" w:color="auto" w:fill="FFF6D7"/>
            <w:tcMar>
              <w:top w:w="15" w:type="dxa"/>
              <w:left w:w="15" w:type="dxa"/>
              <w:bottom w:w="0" w:type="dxa"/>
              <w:right w:w="567" w:type="dxa"/>
            </w:tcMar>
            <w:vAlign w:val="center"/>
            <w:hideMark/>
          </w:tcPr>
          <w:p w:rsidR="00ED176A" w:rsidRPr="00EE2A31" w:rsidRDefault="005B2C66" w:rsidP="00D217F1">
            <w:pPr>
              <w:jc w:val="center"/>
              <w:rPr>
                <w:bCs/>
                <w:color w:val="000000" w:themeColor="text1"/>
              </w:rPr>
            </w:pPr>
            <w:r w:rsidRPr="00EE2A31">
              <w:rPr>
                <w:bCs/>
                <w:color w:val="000000" w:themeColor="text1"/>
              </w:rPr>
              <w:t>66%</w:t>
            </w:r>
          </w:p>
        </w:tc>
      </w:tr>
      <w:tr w:rsidR="005B2C66" w:rsidRPr="005B2C66" w:rsidTr="005B2C66">
        <w:trPr>
          <w:trHeight w:val="20"/>
        </w:trPr>
        <w:tc>
          <w:tcPr>
            <w:tcW w:w="550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5B2C66" w:rsidRDefault="005B2C66" w:rsidP="005B2C66">
            <w:pPr>
              <w:spacing w:after="0" w:line="240" w:lineRule="auto"/>
            </w:pPr>
            <w:r w:rsidRPr="005B2C66">
              <w:t>The Government</w:t>
            </w:r>
          </w:p>
        </w:tc>
        <w:tc>
          <w:tcPr>
            <w:tcW w:w="156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5B2C66" w:rsidRDefault="005B2C66" w:rsidP="00D217F1">
            <w:pPr>
              <w:spacing w:after="0" w:line="240" w:lineRule="auto"/>
              <w:jc w:val="center"/>
            </w:pPr>
            <w:r w:rsidRPr="005B2C66">
              <w:t>16%</w:t>
            </w:r>
          </w:p>
        </w:tc>
      </w:tr>
      <w:tr w:rsidR="005B2C66" w:rsidRPr="005B2C66" w:rsidTr="005B2C66">
        <w:trPr>
          <w:trHeight w:val="20"/>
        </w:trPr>
        <w:tc>
          <w:tcPr>
            <w:tcW w:w="550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5B2C66" w:rsidRDefault="005B2C66" w:rsidP="005B2C66">
            <w:pPr>
              <w:spacing w:after="0" w:line="240" w:lineRule="auto"/>
            </w:pPr>
            <w:r w:rsidRPr="005B2C66">
              <w:t>Health Star Rating</w:t>
            </w:r>
          </w:p>
        </w:tc>
        <w:tc>
          <w:tcPr>
            <w:tcW w:w="156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5B2C66" w:rsidRDefault="005B2C66" w:rsidP="00D217F1">
            <w:pPr>
              <w:spacing w:after="0" w:line="240" w:lineRule="auto"/>
              <w:jc w:val="center"/>
            </w:pPr>
            <w:r w:rsidRPr="005B2C66">
              <w:t>8%</w:t>
            </w:r>
          </w:p>
        </w:tc>
      </w:tr>
      <w:tr w:rsidR="005B2C66" w:rsidRPr="005B2C66" w:rsidTr="005B2C66">
        <w:trPr>
          <w:trHeight w:val="20"/>
        </w:trPr>
        <w:tc>
          <w:tcPr>
            <w:tcW w:w="550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5B2C66" w:rsidRDefault="005B2C66" w:rsidP="005B2C66">
            <w:pPr>
              <w:spacing w:after="0" w:line="240" w:lineRule="auto"/>
            </w:pPr>
            <w:r w:rsidRPr="005B2C66">
              <w:t>Health Department</w:t>
            </w:r>
          </w:p>
        </w:tc>
        <w:tc>
          <w:tcPr>
            <w:tcW w:w="156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5B2C66" w:rsidRDefault="005B2C66" w:rsidP="00D217F1">
            <w:pPr>
              <w:spacing w:after="0" w:line="240" w:lineRule="auto"/>
              <w:jc w:val="center"/>
            </w:pPr>
            <w:r w:rsidRPr="005B2C66">
              <w:t>1%</w:t>
            </w:r>
          </w:p>
        </w:tc>
      </w:tr>
      <w:tr w:rsidR="005B2C66" w:rsidRPr="005B2C66" w:rsidTr="005B2C66">
        <w:trPr>
          <w:trHeight w:val="20"/>
        </w:trPr>
        <w:tc>
          <w:tcPr>
            <w:tcW w:w="550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5B2C66" w:rsidRDefault="005B2C66" w:rsidP="005B2C66">
            <w:pPr>
              <w:spacing w:after="0" w:line="240" w:lineRule="auto"/>
            </w:pPr>
            <w:r w:rsidRPr="005B2C66">
              <w:t>Heart Foundation</w:t>
            </w:r>
          </w:p>
        </w:tc>
        <w:tc>
          <w:tcPr>
            <w:tcW w:w="156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5B2C66" w:rsidRDefault="005B2C66" w:rsidP="00D217F1">
            <w:pPr>
              <w:spacing w:after="0" w:line="240" w:lineRule="auto"/>
              <w:jc w:val="center"/>
            </w:pPr>
            <w:r w:rsidRPr="005B2C66">
              <w:t>1%</w:t>
            </w:r>
          </w:p>
        </w:tc>
      </w:tr>
      <w:tr w:rsidR="005B2C66" w:rsidRPr="005B2C66" w:rsidTr="005B2C66">
        <w:trPr>
          <w:trHeight w:val="20"/>
        </w:trPr>
        <w:tc>
          <w:tcPr>
            <w:tcW w:w="550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5B2C66" w:rsidRDefault="005B2C66" w:rsidP="005B2C66">
            <w:pPr>
              <w:spacing w:after="0" w:line="240" w:lineRule="auto"/>
            </w:pPr>
            <w:r w:rsidRPr="005B2C66">
              <w:t>Health group</w:t>
            </w:r>
          </w:p>
        </w:tc>
        <w:tc>
          <w:tcPr>
            <w:tcW w:w="156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5B2C66" w:rsidRDefault="005B2C66" w:rsidP="00D217F1">
            <w:pPr>
              <w:spacing w:after="0" w:line="240" w:lineRule="auto"/>
              <w:jc w:val="center"/>
            </w:pPr>
            <w:r w:rsidRPr="005B2C66">
              <w:t>1%</w:t>
            </w:r>
          </w:p>
        </w:tc>
      </w:tr>
      <w:tr w:rsidR="005B2C66" w:rsidRPr="005B2C66" w:rsidTr="005B2C66">
        <w:trPr>
          <w:trHeight w:val="20"/>
        </w:trPr>
        <w:tc>
          <w:tcPr>
            <w:tcW w:w="550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5B2C66" w:rsidRDefault="005B2C66" w:rsidP="005B2C66">
            <w:pPr>
              <w:spacing w:after="0" w:line="240" w:lineRule="auto"/>
            </w:pPr>
            <w:r w:rsidRPr="005B2C66">
              <w:t>Food manufacturers</w:t>
            </w:r>
          </w:p>
        </w:tc>
        <w:tc>
          <w:tcPr>
            <w:tcW w:w="156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5B2C66" w:rsidRDefault="005B2C66" w:rsidP="00D217F1">
            <w:pPr>
              <w:spacing w:after="0" w:line="240" w:lineRule="auto"/>
              <w:jc w:val="center"/>
            </w:pPr>
            <w:r w:rsidRPr="005B2C66">
              <w:t>1%</w:t>
            </w:r>
          </w:p>
        </w:tc>
      </w:tr>
      <w:tr w:rsidR="005B2C66" w:rsidRPr="005B2C66" w:rsidTr="005B2C66">
        <w:trPr>
          <w:trHeight w:val="20"/>
        </w:trPr>
        <w:tc>
          <w:tcPr>
            <w:tcW w:w="550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5B2C66" w:rsidRDefault="00A40A4C" w:rsidP="005B2C66">
            <w:pPr>
              <w:spacing w:after="0" w:line="240" w:lineRule="auto"/>
            </w:pPr>
            <w:r>
              <w:t>Major</w:t>
            </w:r>
            <w:r w:rsidR="005B2C66" w:rsidRPr="005B2C66">
              <w:t xml:space="preserve"> Supermarkets</w:t>
            </w:r>
          </w:p>
        </w:tc>
        <w:tc>
          <w:tcPr>
            <w:tcW w:w="156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5B2C66" w:rsidRDefault="005B2C66" w:rsidP="00D217F1">
            <w:pPr>
              <w:spacing w:after="0" w:line="240" w:lineRule="auto"/>
              <w:jc w:val="center"/>
            </w:pPr>
            <w:r w:rsidRPr="005B2C66">
              <w:t>1%</w:t>
            </w:r>
          </w:p>
        </w:tc>
      </w:tr>
      <w:tr w:rsidR="005B2C66" w:rsidRPr="005B2C66" w:rsidTr="005B2C66">
        <w:trPr>
          <w:trHeight w:val="20"/>
        </w:trPr>
        <w:tc>
          <w:tcPr>
            <w:tcW w:w="550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5B2C66" w:rsidRDefault="005B2C66" w:rsidP="005B2C66">
            <w:pPr>
              <w:spacing w:after="0" w:line="240" w:lineRule="auto"/>
            </w:pPr>
            <w:r w:rsidRPr="005B2C66">
              <w:t>Bread &amp;/or cereal producers</w:t>
            </w:r>
          </w:p>
        </w:tc>
        <w:tc>
          <w:tcPr>
            <w:tcW w:w="156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5B2C66" w:rsidRDefault="005B2C66" w:rsidP="00D217F1">
            <w:pPr>
              <w:spacing w:after="0" w:line="240" w:lineRule="auto"/>
              <w:jc w:val="center"/>
            </w:pPr>
            <w:r w:rsidRPr="005B2C66">
              <w:t>1%</w:t>
            </w:r>
          </w:p>
        </w:tc>
      </w:tr>
      <w:tr w:rsidR="005B2C66" w:rsidRPr="005B2C66" w:rsidTr="005B2C66">
        <w:trPr>
          <w:trHeight w:val="20"/>
        </w:trPr>
        <w:tc>
          <w:tcPr>
            <w:tcW w:w="550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5B2C66" w:rsidRDefault="005B2C66" w:rsidP="005B2C66">
            <w:pPr>
              <w:spacing w:after="0" w:line="240" w:lineRule="auto"/>
            </w:pPr>
            <w:r w:rsidRPr="005B2C66">
              <w:t>Specific brand/company</w:t>
            </w:r>
          </w:p>
        </w:tc>
        <w:tc>
          <w:tcPr>
            <w:tcW w:w="156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5B2C66" w:rsidRDefault="005B2C66" w:rsidP="00D217F1">
            <w:pPr>
              <w:spacing w:after="0" w:line="240" w:lineRule="auto"/>
              <w:jc w:val="center"/>
            </w:pPr>
            <w:r w:rsidRPr="005B2C66">
              <w:t>1%</w:t>
            </w:r>
          </w:p>
        </w:tc>
      </w:tr>
      <w:tr w:rsidR="005B2C66" w:rsidRPr="005B2C66" w:rsidTr="005B2C66">
        <w:trPr>
          <w:trHeight w:val="20"/>
        </w:trPr>
        <w:tc>
          <w:tcPr>
            <w:tcW w:w="550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5B2C66" w:rsidRDefault="005B2C66" w:rsidP="005B2C66">
            <w:pPr>
              <w:spacing w:after="0" w:line="240" w:lineRule="auto"/>
            </w:pPr>
            <w:r w:rsidRPr="005B2C66">
              <w:t>Other</w:t>
            </w:r>
          </w:p>
        </w:tc>
        <w:tc>
          <w:tcPr>
            <w:tcW w:w="156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5B2C66" w:rsidRDefault="005B2C66" w:rsidP="00D217F1">
            <w:pPr>
              <w:spacing w:after="0" w:line="240" w:lineRule="auto"/>
              <w:jc w:val="center"/>
            </w:pPr>
            <w:r w:rsidRPr="005B2C66">
              <w:t>3%</w:t>
            </w:r>
          </w:p>
        </w:tc>
      </w:tr>
    </w:tbl>
    <w:p w:rsidR="005B2C66" w:rsidRPr="00BE6346" w:rsidRDefault="00BE6346" w:rsidP="005B2C66">
      <w:pPr>
        <w:spacing w:after="0" w:line="240" w:lineRule="auto"/>
        <w:rPr>
          <w:sz w:val="20"/>
          <w:szCs w:val="20"/>
        </w:rPr>
      </w:pPr>
      <w:r w:rsidRPr="00BE6346">
        <w:rPr>
          <w:sz w:val="20"/>
          <w:szCs w:val="20"/>
        </w:rPr>
        <w:t>Base: All respondents (n=1000).</w:t>
      </w:r>
    </w:p>
    <w:p w:rsidR="00EE4F51" w:rsidRDefault="00EE4F51" w:rsidP="00797213">
      <w:pPr>
        <w:spacing w:before="120" w:line="240" w:lineRule="auto"/>
      </w:pPr>
    </w:p>
    <w:p w:rsidR="00BE6346" w:rsidRDefault="00276814" w:rsidP="00797213">
      <w:pPr>
        <w:spacing w:before="120" w:line="240" w:lineRule="auto"/>
      </w:pPr>
      <w:r>
        <w:t xml:space="preserve">Respondents </w:t>
      </w:r>
      <w:r w:rsidR="00EA4876">
        <w:t xml:space="preserve">were </w:t>
      </w:r>
      <w:r w:rsidR="00EA2F49">
        <w:t xml:space="preserve">further exposed to campaign materials across the course of the survey and then </w:t>
      </w:r>
      <w:r w:rsidR="00052E2B">
        <w:t xml:space="preserve">asked if this campaign communicates to </w:t>
      </w:r>
      <w:r w:rsidR="00052E2B">
        <w:lastRenderedPageBreak/>
        <w:t>you that ‘the HSR is a joint initiative of Governments and others</w:t>
      </w:r>
      <w:r w:rsidR="00797213">
        <w:rPr>
          <w:rStyle w:val="FootnoteReference"/>
        </w:rPr>
        <w:footnoteReference w:id="9"/>
      </w:r>
      <w:r w:rsidR="00052E2B">
        <w:t>’</w:t>
      </w:r>
      <w:r w:rsidR="00EA2F49">
        <w:t>. At this point</w:t>
      </w:r>
      <w:r w:rsidR="00052E2B">
        <w:t xml:space="preserve"> 43% agree yes</w:t>
      </w:r>
      <w:r w:rsidR="00EA2F49">
        <w:t>, which suggests that exposure to the campaign does</w:t>
      </w:r>
      <w:r w:rsidR="00C22D79">
        <w:t xml:space="preserve"> go some way to</w:t>
      </w:r>
      <w:r w:rsidR="00EA2F49">
        <w:t xml:space="preserve"> clarify</w:t>
      </w:r>
      <w:r w:rsidR="00C22D79">
        <w:t>ing</w:t>
      </w:r>
      <w:r w:rsidR="00EA2F49">
        <w:t xml:space="preserve"> ownership of HSR. </w:t>
      </w:r>
      <w:r w:rsidR="00D61211">
        <w:t xml:space="preserve">Fifty-seven percent answer of all respondents answer </w:t>
      </w:r>
      <w:r w:rsidR="00052E2B">
        <w:t>‘no’ or ‘not sure’</w:t>
      </w:r>
      <w:r w:rsidR="00D61211">
        <w:t xml:space="preserve">, however </w:t>
      </w:r>
      <w:r w:rsidR="00AC42AD">
        <w:t>this figure is significantly lower (37%)</w:t>
      </w:r>
      <w:r w:rsidR="00D61211" w:rsidRPr="00D61211">
        <w:t xml:space="preserve"> </w:t>
      </w:r>
      <w:r w:rsidR="00D61211">
        <w:t>among those who had seen the campaign prior to the survey</w:t>
      </w:r>
      <w:r w:rsidR="00AC42AD">
        <w:t>.</w:t>
      </w:r>
    </w:p>
    <w:p w:rsidR="00052E2B" w:rsidRPr="00BE6346" w:rsidRDefault="00A279DB" w:rsidP="00797213">
      <w:pPr>
        <w:spacing w:before="120" w:line="240" w:lineRule="auto"/>
      </w:pPr>
      <w:r>
        <w:t>T</w:t>
      </w:r>
      <w:r w:rsidR="00D61211">
        <w:t>here</w:t>
      </w:r>
      <w:r w:rsidR="00052E2B">
        <w:t xml:space="preserve"> is </w:t>
      </w:r>
      <w:r w:rsidR="001920DF">
        <w:t>confusion around</w:t>
      </w:r>
      <w:r w:rsidR="00217C0F">
        <w:t xml:space="preserve"> </w:t>
      </w:r>
      <w:r w:rsidR="00052E2B">
        <w:t xml:space="preserve">campaign </w:t>
      </w:r>
      <w:r w:rsidR="003749EB">
        <w:t xml:space="preserve">messaging, as some see the campaign to be suggesting people buy food with the HSR displayed, </w:t>
      </w:r>
      <w:r w:rsidR="00F05488">
        <w:t>or ‘</w:t>
      </w:r>
      <w:r w:rsidR="003749EB">
        <w:t>packaged food</w:t>
      </w:r>
      <w:r w:rsidR="00F05488">
        <w:t>’ generally</w:t>
      </w:r>
      <w:r w:rsidR="003749EB">
        <w:t>:</w:t>
      </w:r>
      <w:r w:rsidR="00D61211">
        <w:t xml:space="preserve"> </w:t>
      </w:r>
      <w:r w:rsidR="003749EB">
        <w:t xml:space="preserve">29% </w:t>
      </w:r>
      <w:r w:rsidR="00052E2B">
        <w:t>agree</w:t>
      </w:r>
      <w:r w:rsidR="00EE4F51">
        <w:t xml:space="preserve"> </w:t>
      </w:r>
      <w:r w:rsidR="00052E2B">
        <w:t xml:space="preserve">the campaign communicates you should ‘only purchase food with a Health Star Rating’ and </w:t>
      </w:r>
      <w:r w:rsidR="001920DF">
        <w:rPr>
          <w:bCs/>
        </w:rPr>
        <w:t>13%</w:t>
      </w:r>
      <w:r w:rsidR="00052E2B">
        <w:rPr>
          <w:bCs/>
        </w:rPr>
        <w:t xml:space="preserve"> </w:t>
      </w:r>
      <w:r w:rsidR="00B26207" w:rsidRPr="00052E2B">
        <w:rPr>
          <w:bCs/>
        </w:rPr>
        <w:t>of</w:t>
      </w:r>
      <w:r w:rsidR="007919C3">
        <w:rPr>
          <w:bCs/>
        </w:rPr>
        <w:t xml:space="preserve"> respondents</w:t>
      </w:r>
      <w:r w:rsidR="00B26207" w:rsidRPr="00052E2B">
        <w:rPr>
          <w:bCs/>
        </w:rPr>
        <w:t xml:space="preserve"> </w:t>
      </w:r>
      <w:r w:rsidR="001920DF">
        <w:rPr>
          <w:bCs/>
        </w:rPr>
        <w:t xml:space="preserve">agree </w:t>
      </w:r>
      <w:r w:rsidR="00052E2B">
        <w:rPr>
          <w:bCs/>
        </w:rPr>
        <w:t xml:space="preserve">with the statement </w:t>
      </w:r>
      <w:r w:rsidR="001920DF">
        <w:rPr>
          <w:bCs/>
        </w:rPr>
        <w:t xml:space="preserve">that </w:t>
      </w:r>
      <w:r w:rsidR="00052E2B">
        <w:rPr>
          <w:bCs/>
        </w:rPr>
        <w:t xml:space="preserve">this campaign communicates </w:t>
      </w:r>
      <w:r w:rsidR="001920DF">
        <w:rPr>
          <w:bCs/>
        </w:rPr>
        <w:t>‘</w:t>
      </w:r>
      <w:r w:rsidR="00052E2B">
        <w:rPr>
          <w:bCs/>
        </w:rPr>
        <w:t>you should buy more packaged foods</w:t>
      </w:r>
      <w:r w:rsidR="001920DF">
        <w:rPr>
          <w:bCs/>
        </w:rPr>
        <w:t>’</w:t>
      </w:r>
      <w:r w:rsidR="00052E2B">
        <w:rPr>
          <w:bCs/>
        </w:rPr>
        <w:t>.</w:t>
      </w:r>
    </w:p>
    <w:p w:rsidR="00CB2355" w:rsidRDefault="00301746" w:rsidP="00797213">
      <w:pPr>
        <w:spacing w:before="120" w:line="240" w:lineRule="auto"/>
      </w:pPr>
      <w:r w:rsidRPr="00301746">
        <w:t>There is also</w:t>
      </w:r>
      <w:r>
        <w:t xml:space="preserve"> some confusion regarding the HSR</w:t>
      </w:r>
      <w:r w:rsidR="001920DF">
        <w:t xml:space="preserve"> system itself</w:t>
      </w:r>
      <w:r>
        <w:t>, with 43% agreeing the campaign communicates that ‘food is healthy if it displays a Health Star Rating</w:t>
      </w:r>
      <w:r w:rsidR="00276814">
        <w:t>’</w:t>
      </w:r>
      <w:r w:rsidR="001920DF">
        <w:t xml:space="preserve"> (i.e., has ‘earned’ the HSR for its nutritional value)</w:t>
      </w:r>
      <w:r>
        <w:t xml:space="preserve">. </w:t>
      </w:r>
    </w:p>
    <w:p w:rsidR="00B26207" w:rsidRPr="00301746" w:rsidRDefault="00CB2355" w:rsidP="00797213">
      <w:pPr>
        <w:spacing w:before="120" w:line="240" w:lineRule="auto"/>
      </w:pPr>
      <w:r>
        <w:t>Confusion around messaging may be</w:t>
      </w:r>
      <w:r w:rsidR="00217C0F">
        <w:t xml:space="preserve"> </w:t>
      </w:r>
      <w:r w:rsidR="00E47410">
        <w:t>due</w:t>
      </w:r>
      <w:r>
        <w:t xml:space="preserve"> in part</w:t>
      </w:r>
      <w:r w:rsidR="00E47410">
        <w:t xml:space="preserve"> to current lack of awareness</w:t>
      </w:r>
      <w:r w:rsidR="00F05488">
        <w:t xml:space="preserve"> of HSR</w:t>
      </w:r>
      <w:r w:rsidR="00E47410">
        <w:t>,</w:t>
      </w:r>
      <w:r w:rsidR="001920DF">
        <w:t xml:space="preserve"> noting that </w:t>
      </w:r>
      <w:r w:rsidR="004254C5">
        <w:rPr>
          <w:bCs/>
        </w:rPr>
        <w:t>6 in 10 (58%)</w:t>
      </w:r>
      <w:r w:rsidR="000541C7">
        <w:rPr>
          <w:bCs/>
        </w:rPr>
        <w:t xml:space="preserve"> </w:t>
      </w:r>
      <w:r w:rsidR="001920DF">
        <w:rPr>
          <w:bCs/>
        </w:rPr>
        <w:t xml:space="preserve">respondents </w:t>
      </w:r>
      <w:r w:rsidR="004254C5">
        <w:rPr>
          <w:bCs/>
        </w:rPr>
        <w:t xml:space="preserve">had been introduced to the HSR </w:t>
      </w:r>
      <w:r w:rsidR="003749EB">
        <w:rPr>
          <w:bCs/>
        </w:rPr>
        <w:t xml:space="preserve">for the first time </w:t>
      </w:r>
      <w:r w:rsidR="00F05488">
        <w:rPr>
          <w:bCs/>
        </w:rPr>
        <w:t xml:space="preserve">during </w:t>
      </w:r>
      <w:r w:rsidR="004254C5">
        <w:rPr>
          <w:bCs/>
        </w:rPr>
        <w:t xml:space="preserve">the survey. </w:t>
      </w:r>
      <w:r w:rsidR="00FC2C05">
        <w:rPr>
          <w:bCs/>
        </w:rPr>
        <w:t xml:space="preserve">It is reasonable to suggest that more exposure to HSR, through advertising, press or first-hand experience in store </w:t>
      </w:r>
      <w:r w:rsidR="003749EB">
        <w:rPr>
          <w:bCs/>
        </w:rPr>
        <w:t xml:space="preserve">is likely to </w:t>
      </w:r>
      <w:r w:rsidR="00FC2C05">
        <w:rPr>
          <w:bCs/>
        </w:rPr>
        <w:t xml:space="preserve">reduce this confusion. </w:t>
      </w:r>
    </w:p>
    <w:p w:rsidR="00B26207" w:rsidRDefault="006068DF" w:rsidP="00797213">
      <w:pPr>
        <w:spacing w:before="120" w:line="240" w:lineRule="auto"/>
        <w:rPr>
          <w:bCs/>
          <w:iCs/>
        </w:rPr>
      </w:pPr>
      <w:r>
        <w:rPr>
          <w:bCs/>
        </w:rPr>
        <w:t xml:space="preserve">Table 7 </w:t>
      </w:r>
      <w:r w:rsidR="00C1722E">
        <w:rPr>
          <w:bCs/>
        </w:rPr>
        <w:t>illustrates some of these findings.</w:t>
      </w:r>
      <w:r w:rsidR="001E1E99">
        <w:rPr>
          <w:bCs/>
        </w:rPr>
        <w:t xml:space="preserve"> </w:t>
      </w:r>
    </w:p>
    <w:p w:rsidR="00BE6346" w:rsidRPr="00270839" w:rsidRDefault="00BE6346" w:rsidP="005A6ADC">
      <w:pPr>
        <w:pStyle w:val="Caption"/>
      </w:pPr>
      <w:r w:rsidRPr="00270839">
        <w:t xml:space="preserve">Table 7 - </w:t>
      </w:r>
      <w:r w:rsidR="00F05488" w:rsidRPr="00EE2A31">
        <w:rPr>
          <w:color w:val="000000" w:themeColor="text1"/>
        </w:rPr>
        <w:t>Significant difference</w:t>
      </w:r>
      <w:r w:rsidR="00C1722E">
        <w:rPr>
          <w:color w:val="000000" w:themeColor="text1"/>
        </w:rPr>
        <w:t>s</w:t>
      </w:r>
      <w:r w:rsidR="00F05488" w:rsidRPr="00EE2A31">
        <w:rPr>
          <w:color w:val="000000" w:themeColor="text1"/>
        </w:rPr>
        <w:t xml:space="preserve"> in </w:t>
      </w:r>
      <w:r w:rsidR="00F05488" w:rsidRPr="00F05488">
        <w:rPr>
          <w:color w:val="000000" w:themeColor="text1"/>
        </w:rPr>
        <w:t>agreement with statements</w:t>
      </w:r>
      <w:r w:rsidR="00F05488">
        <w:rPr>
          <w:color w:val="000000" w:themeColor="text1"/>
        </w:rPr>
        <w:t xml:space="preserve"> </w:t>
      </w:r>
      <w:r w:rsidR="00F05488" w:rsidRPr="00466125">
        <w:rPr>
          <w:color w:val="000000" w:themeColor="text1"/>
        </w:rPr>
        <w:t>in response to</w:t>
      </w:r>
      <w:r w:rsidR="00466125">
        <w:rPr>
          <w:color w:val="000000" w:themeColor="text1"/>
        </w:rPr>
        <w:t xml:space="preserve">: </w:t>
      </w:r>
      <w:r w:rsidR="00C1722E" w:rsidRPr="00466125">
        <w:rPr>
          <w:color w:val="000000" w:themeColor="text1"/>
        </w:rPr>
        <w:t>‘</w:t>
      </w:r>
      <w:r w:rsidRPr="00270839">
        <w:t xml:space="preserve">Do the ads in this campaign communicate </w:t>
      </w:r>
      <w:r w:rsidR="003746F4">
        <w:t xml:space="preserve">to you </w:t>
      </w:r>
      <w:r w:rsidR="00C1722E">
        <w:t xml:space="preserve">that </w:t>
      </w:r>
      <w:r w:rsidR="003746F4">
        <w:t xml:space="preserve">/ </w:t>
      </w:r>
      <w:r w:rsidRPr="00270839">
        <w:t>that you should</w:t>
      </w:r>
      <w:r w:rsidR="00C1722E">
        <w:t>…</w:t>
      </w:r>
      <w:proofErr w:type="gramStart"/>
      <w:r w:rsidR="00C1722E">
        <w:t>’</w:t>
      </w:r>
      <w:r w:rsidRPr="00270839">
        <w:t>:</w:t>
      </w:r>
      <w:proofErr w:type="gramEnd"/>
      <w:r w:rsidR="003746F4">
        <w:t xml:space="preserve"> </w:t>
      </w:r>
    </w:p>
    <w:tbl>
      <w:tblPr>
        <w:tblW w:w="8379" w:type="dxa"/>
        <w:tblLayout w:type="fixed"/>
        <w:tblCellMar>
          <w:left w:w="0" w:type="dxa"/>
          <w:right w:w="0" w:type="dxa"/>
        </w:tblCellMar>
        <w:tblLook w:val="0420" w:firstRow="1" w:lastRow="0" w:firstColumn="0" w:lastColumn="0" w:noHBand="0" w:noVBand="1"/>
      </w:tblPr>
      <w:tblGrid>
        <w:gridCol w:w="5544"/>
        <w:gridCol w:w="1488"/>
        <w:gridCol w:w="1347"/>
      </w:tblGrid>
      <w:tr w:rsidR="00B26207" w:rsidRPr="00B26207" w:rsidTr="006C4175">
        <w:trPr>
          <w:trHeight w:val="20"/>
        </w:trPr>
        <w:tc>
          <w:tcPr>
            <w:tcW w:w="5544" w:type="dxa"/>
            <w:tcBorders>
              <w:top w:val="nil"/>
              <w:left w:val="nil"/>
              <w:bottom w:val="single" w:sz="4" w:space="0" w:color="auto"/>
              <w:right w:val="nil"/>
            </w:tcBorders>
            <w:shd w:val="clear" w:color="auto" w:fill="auto"/>
            <w:tcMar>
              <w:top w:w="72" w:type="dxa"/>
              <w:left w:w="15" w:type="dxa"/>
              <w:bottom w:w="72" w:type="dxa"/>
              <w:right w:w="144" w:type="dxa"/>
            </w:tcMar>
            <w:vAlign w:val="center"/>
            <w:hideMark/>
          </w:tcPr>
          <w:p w:rsidR="00ED176A" w:rsidRPr="00EE2A31" w:rsidRDefault="00ED176A" w:rsidP="00B26207">
            <w:pPr>
              <w:spacing w:after="0" w:line="240" w:lineRule="auto"/>
              <w:rPr>
                <w:color w:val="000000" w:themeColor="text1"/>
              </w:rPr>
            </w:pPr>
          </w:p>
        </w:tc>
        <w:tc>
          <w:tcPr>
            <w:tcW w:w="1488" w:type="dxa"/>
            <w:tcBorders>
              <w:top w:val="nil"/>
              <w:left w:val="nil"/>
              <w:bottom w:val="single" w:sz="4" w:space="0" w:color="auto"/>
              <w:right w:val="nil"/>
            </w:tcBorders>
            <w:shd w:val="clear" w:color="auto" w:fill="auto"/>
            <w:tcMar>
              <w:top w:w="72" w:type="dxa"/>
              <w:left w:w="144" w:type="dxa"/>
              <w:bottom w:w="72" w:type="dxa"/>
              <w:right w:w="144" w:type="dxa"/>
            </w:tcMar>
            <w:vAlign w:val="bottom"/>
            <w:hideMark/>
          </w:tcPr>
          <w:p w:rsidR="00ED176A" w:rsidRPr="00EE2A31" w:rsidRDefault="00B26207" w:rsidP="006C4175">
            <w:pPr>
              <w:spacing w:after="0" w:line="240" w:lineRule="auto"/>
              <w:jc w:val="center"/>
              <w:rPr>
                <w:color w:val="000000" w:themeColor="text1"/>
              </w:rPr>
            </w:pPr>
            <w:r w:rsidRPr="00EE2A31">
              <w:rPr>
                <w:color w:val="000000" w:themeColor="text1"/>
              </w:rPr>
              <w:t xml:space="preserve">Seen campaign </w:t>
            </w:r>
            <w:r w:rsidRPr="00EE2A31">
              <w:rPr>
                <w:color w:val="000000" w:themeColor="text1"/>
              </w:rPr>
              <w:br/>
              <w:t>(% Yes)</w:t>
            </w:r>
          </w:p>
        </w:tc>
        <w:tc>
          <w:tcPr>
            <w:tcW w:w="1347" w:type="dxa"/>
            <w:tcBorders>
              <w:top w:val="nil"/>
              <w:left w:val="nil"/>
              <w:bottom w:val="single" w:sz="4" w:space="0" w:color="auto"/>
              <w:right w:val="nil"/>
            </w:tcBorders>
            <w:shd w:val="clear" w:color="auto" w:fill="auto"/>
            <w:tcMar>
              <w:top w:w="72" w:type="dxa"/>
              <w:left w:w="144" w:type="dxa"/>
              <w:bottom w:w="72" w:type="dxa"/>
              <w:right w:w="144" w:type="dxa"/>
            </w:tcMar>
            <w:vAlign w:val="bottom"/>
            <w:hideMark/>
          </w:tcPr>
          <w:p w:rsidR="00B26207" w:rsidRPr="00EE2A31" w:rsidRDefault="00B26207" w:rsidP="006C4175">
            <w:pPr>
              <w:spacing w:after="0" w:line="240" w:lineRule="auto"/>
              <w:jc w:val="center"/>
              <w:rPr>
                <w:color w:val="000000" w:themeColor="text1"/>
              </w:rPr>
            </w:pPr>
            <w:r w:rsidRPr="00EE2A31">
              <w:rPr>
                <w:color w:val="000000" w:themeColor="text1"/>
              </w:rPr>
              <w:t>Total</w:t>
            </w:r>
          </w:p>
          <w:p w:rsidR="00ED176A" w:rsidRPr="00EE2A31" w:rsidRDefault="00B26207" w:rsidP="006C4175">
            <w:pPr>
              <w:spacing w:after="0" w:line="240" w:lineRule="auto"/>
              <w:jc w:val="center"/>
              <w:rPr>
                <w:color w:val="000000" w:themeColor="text1"/>
              </w:rPr>
            </w:pPr>
            <w:r w:rsidRPr="00EE2A31">
              <w:rPr>
                <w:color w:val="000000" w:themeColor="text1"/>
              </w:rPr>
              <w:t>(% Yes)</w:t>
            </w:r>
          </w:p>
        </w:tc>
      </w:tr>
      <w:tr w:rsidR="00B26207" w:rsidRPr="00B26207" w:rsidTr="00E6724B">
        <w:trPr>
          <w:trHeight w:val="20"/>
        </w:trPr>
        <w:tc>
          <w:tcPr>
            <w:tcW w:w="5544" w:type="dxa"/>
            <w:tcBorders>
              <w:top w:val="single" w:sz="4" w:space="0" w:color="auto"/>
              <w:left w:val="nil"/>
              <w:bottom w:val="nil"/>
              <w:right w:val="nil"/>
            </w:tcBorders>
            <w:shd w:val="clear" w:color="auto" w:fill="FFF6D7"/>
            <w:tcMar>
              <w:top w:w="72" w:type="dxa"/>
              <w:left w:w="15" w:type="dxa"/>
              <w:bottom w:w="72" w:type="dxa"/>
              <w:right w:w="144" w:type="dxa"/>
            </w:tcMar>
            <w:vAlign w:val="center"/>
            <w:hideMark/>
          </w:tcPr>
          <w:p w:rsidR="00ED176A" w:rsidRPr="00B26207" w:rsidRDefault="00B26207" w:rsidP="00B26207">
            <w:pPr>
              <w:spacing w:after="0" w:line="240" w:lineRule="auto"/>
            </w:pPr>
            <w:r w:rsidRPr="00B26207">
              <w:t xml:space="preserve">The Health Star Rating is a joint initiative of Governments and others </w:t>
            </w:r>
          </w:p>
        </w:tc>
        <w:tc>
          <w:tcPr>
            <w:tcW w:w="1488" w:type="dxa"/>
            <w:tcBorders>
              <w:top w:val="single" w:sz="4" w:space="0" w:color="auto"/>
              <w:left w:val="nil"/>
              <w:bottom w:val="nil"/>
              <w:right w:val="nil"/>
            </w:tcBorders>
            <w:shd w:val="clear" w:color="auto" w:fill="FFF6D7"/>
            <w:tcMar>
              <w:top w:w="72" w:type="dxa"/>
              <w:left w:w="144" w:type="dxa"/>
              <w:bottom w:w="72" w:type="dxa"/>
              <w:right w:w="144" w:type="dxa"/>
            </w:tcMar>
            <w:vAlign w:val="center"/>
            <w:hideMark/>
          </w:tcPr>
          <w:p w:rsidR="00ED176A" w:rsidRPr="00B26207" w:rsidRDefault="00B26207" w:rsidP="00B26207">
            <w:pPr>
              <w:spacing w:after="0" w:line="240" w:lineRule="auto"/>
            </w:pPr>
            <w:r w:rsidRPr="00B26207">
              <w:t>63%</w:t>
            </w:r>
          </w:p>
        </w:tc>
        <w:tc>
          <w:tcPr>
            <w:tcW w:w="1347" w:type="dxa"/>
            <w:tcBorders>
              <w:top w:val="single" w:sz="4" w:space="0" w:color="auto"/>
              <w:left w:val="nil"/>
              <w:bottom w:val="nil"/>
              <w:right w:val="nil"/>
            </w:tcBorders>
            <w:shd w:val="clear" w:color="auto" w:fill="FFF6D7"/>
            <w:tcMar>
              <w:top w:w="72" w:type="dxa"/>
              <w:left w:w="144" w:type="dxa"/>
              <w:bottom w:w="72" w:type="dxa"/>
              <w:right w:w="144" w:type="dxa"/>
            </w:tcMar>
            <w:vAlign w:val="center"/>
            <w:hideMark/>
          </w:tcPr>
          <w:p w:rsidR="00ED176A" w:rsidRPr="00B26207" w:rsidRDefault="00B26207" w:rsidP="00B26207">
            <w:pPr>
              <w:spacing w:after="0" w:line="240" w:lineRule="auto"/>
            </w:pPr>
            <w:r w:rsidRPr="00B26207">
              <w:t>43%</w:t>
            </w:r>
          </w:p>
        </w:tc>
      </w:tr>
      <w:tr w:rsidR="00B26207" w:rsidRPr="00B26207" w:rsidTr="00B26207">
        <w:trPr>
          <w:trHeight w:val="20"/>
        </w:trPr>
        <w:tc>
          <w:tcPr>
            <w:tcW w:w="5544" w:type="dxa"/>
            <w:tcBorders>
              <w:top w:val="nil"/>
              <w:left w:val="nil"/>
              <w:bottom w:val="nil"/>
              <w:right w:val="nil"/>
            </w:tcBorders>
            <w:shd w:val="clear" w:color="auto" w:fill="auto"/>
            <w:tcMar>
              <w:top w:w="72" w:type="dxa"/>
              <w:left w:w="15" w:type="dxa"/>
              <w:bottom w:w="72" w:type="dxa"/>
              <w:right w:w="144" w:type="dxa"/>
            </w:tcMar>
            <w:vAlign w:val="center"/>
            <w:hideMark/>
          </w:tcPr>
          <w:p w:rsidR="00ED176A" w:rsidRPr="00B26207" w:rsidRDefault="00B26207" w:rsidP="00B26207">
            <w:pPr>
              <w:spacing w:after="0" w:line="240" w:lineRule="auto"/>
            </w:pPr>
            <w:r w:rsidRPr="00B26207">
              <w:t xml:space="preserve">Food is healthy if it displays a Health Star Rating </w:t>
            </w:r>
          </w:p>
        </w:tc>
        <w:tc>
          <w:tcPr>
            <w:tcW w:w="1488" w:type="dxa"/>
            <w:tcBorders>
              <w:top w:val="nil"/>
              <w:left w:val="nil"/>
              <w:bottom w:val="nil"/>
              <w:right w:val="nil"/>
            </w:tcBorders>
            <w:shd w:val="clear" w:color="auto" w:fill="auto"/>
            <w:tcMar>
              <w:top w:w="72" w:type="dxa"/>
              <w:left w:w="144" w:type="dxa"/>
              <w:bottom w:w="72" w:type="dxa"/>
              <w:right w:w="144" w:type="dxa"/>
            </w:tcMar>
            <w:vAlign w:val="center"/>
            <w:hideMark/>
          </w:tcPr>
          <w:p w:rsidR="00ED176A" w:rsidRPr="00B26207" w:rsidRDefault="00B26207" w:rsidP="00B26207">
            <w:pPr>
              <w:spacing w:after="0" w:line="240" w:lineRule="auto"/>
            </w:pPr>
            <w:r w:rsidRPr="00B26207">
              <w:t>57%</w:t>
            </w:r>
          </w:p>
        </w:tc>
        <w:tc>
          <w:tcPr>
            <w:tcW w:w="1347" w:type="dxa"/>
            <w:tcBorders>
              <w:top w:val="nil"/>
              <w:left w:val="nil"/>
              <w:bottom w:val="nil"/>
              <w:right w:val="nil"/>
            </w:tcBorders>
            <w:shd w:val="clear" w:color="auto" w:fill="auto"/>
            <w:tcMar>
              <w:top w:w="72" w:type="dxa"/>
              <w:left w:w="144" w:type="dxa"/>
              <w:bottom w:w="72" w:type="dxa"/>
              <w:right w:w="144" w:type="dxa"/>
            </w:tcMar>
            <w:vAlign w:val="center"/>
            <w:hideMark/>
          </w:tcPr>
          <w:p w:rsidR="00ED176A" w:rsidRPr="00B26207" w:rsidRDefault="00B26207" w:rsidP="00B26207">
            <w:pPr>
              <w:spacing w:after="0" w:line="240" w:lineRule="auto"/>
            </w:pPr>
            <w:r w:rsidRPr="00B26207">
              <w:t>43%</w:t>
            </w:r>
          </w:p>
        </w:tc>
      </w:tr>
      <w:tr w:rsidR="00B26207" w:rsidRPr="00B26207" w:rsidTr="00B26207">
        <w:trPr>
          <w:trHeight w:val="20"/>
        </w:trPr>
        <w:tc>
          <w:tcPr>
            <w:tcW w:w="5544" w:type="dxa"/>
            <w:tcBorders>
              <w:top w:val="nil"/>
              <w:left w:val="nil"/>
              <w:bottom w:val="nil"/>
              <w:right w:val="nil"/>
            </w:tcBorders>
            <w:shd w:val="clear" w:color="auto" w:fill="auto"/>
            <w:tcMar>
              <w:top w:w="72" w:type="dxa"/>
              <w:left w:w="15" w:type="dxa"/>
              <w:bottom w:w="72" w:type="dxa"/>
              <w:right w:w="144" w:type="dxa"/>
            </w:tcMar>
            <w:vAlign w:val="center"/>
            <w:hideMark/>
          </w:tcPr>
          <w:p w:rsidR="00ED176A" w:rsidRPr="00B26207" w:rsidRDefault="00B26207" w:rsidP="00B26207">
            <w:pPr>
              <w:spacing w:after="0" w:line="240" w:lineRule="auto"/>
            </w:pPr>
            <w:r w:rsidRPr="00B26207">
              <w:t xml:space="preserve">Buy more packaged foods </w:t>
            </w:r>
          </w:p>
        </w:tc>
        <w:tc>
          <w:tcPr>
            <w:tcW w:w="1488" w:type="dxa"/>
            <w:tcBorders>
              <w:top w:val="nil"/>
              <w:left w:val="nil"/>
              <w:bottom w:val="nil"/>
              <w:right w:val="nil"/>
            </w:tcBorders>
            <w:shd w:val="clear" w:color="auto" w:fill="auto"/>
            <w:tcMar>
              <w:top w:w="72" w:type="dxa"/>
              <w:left w:w="144" w:type="dxa"/>
              <w:bottom w:w="72" w:type="dxa"/>
              <w:right w:w="144" w:type="dxa"/>
            </w:tcMar>
            <w:vAlign w:val="center"/>
            <w:hideMark/>
          </w:tcPr>
          <w:p w:rsidR="00ED176A" w:rsidRPr="00B26207" w:rsidRDefault="00B26207" w:rsidP="00B26207">
            <w:pPr>
              <w:spacing w:after="0" w:line="240" w:lineRule="auto"/>
            </w:pPr>
            <w:r w:rsidRPr="00B26207">
              <w:t>20%</w:t>
            </w:r>
          </w:p>
        </w:tc>
        <w:tc>
          <w:tcPr>
            <w:tcW w:w="1347" w:type="dxa"/>
            <w:tcBorders>
              <w:top w:val="nil"/>
              <w:left w:val="nil"/>
              <w:bottom w:val="nil"/>
              <w:right w:val="nil"/>
            </w:tcBorders>
            <w:shd w:val="clear" w:color="auto" w:fill="auto"/>
            <w:tcMar>
              <w:top w:w="72" w:type="dxa"/>
              <w:left w:w="144" w:type="dxa"/>
              <w:bottom w:w="72" w:type="dxa"/>
              <w:right w:w="144" w:type="dxa"/>
            </w:tcMar>
            <w:vAlign w:val="center"/>
            <w:hideMark/>
          </w:tcPr>
          <w:p w:rsidR="00ED176A" w:rsidRPr="00B26207" w:rsidRDefault="00B26207" w:rsidP="00B26207">
            <w:pPr>
              <w:spacing w:after="0" w:line="240" w:lineRule="auto"/>
            </w:pPr>
            <w:r w:rsidRPr="00B26207">
              <w:t>13%</w:t>
            </w:r>
          </w:p>
        </w:tc>
      </w:tr>
      <w:tr w:rsidR="00B26207" w:rsidRPr="00B26207" w:rsidTr="00B26207">
        <w:trPr>
          <w:trHeight w:val="20"/>
        </w:trPr>
        <w:tc>
          <w:tcPr>
            <w:tcW w:w="5544" w:type="dxa"/>
            <w:tcBorders>
              <w:top w:val="nil"/>
              <w:left w:val="nil"/>
              <w:bottom w:val="nil"/>
              <w:right w:val="nil"/>
            </w:tcBorders>
            <w:shd w:val="clear" w:color="auto" w:fill="auto"/>
            <w:tcMar>
              <w:top w:w="72" w:type="dxa"/>
              <w:left w:w="15" w:type="dxa"/>
              <w:bottom w:w="72" w:type="dxa"/>
              <w:right w:w="144" w:type="dxa"/>
            </w:tcMar>
            <w:vAlign w:val="center"/>
            <w:hideMark/>
          </w:tcPr>
          <w:p w:rsidR="00ED176A" w:rsidRPr="00B26207" w:rsidRDefault="00B26207" w:rsidP="00B26207">
            <w:pPr>
              <w:spacing w:after="0" w:line="240" w:lineRule="auto"/>
            </w:pPr>
            <w:r w:rsidRPr="00B26207">
              <w:t xml:space="preserve">Buy packaged foods instead of unpackaged foods </w:t>
            </w:r>
          </w:p>
        </w:tc>
        <w:tc>
          <w:tcPr>
            <w:tcW w:w="1488" w:type="dxa"/>
            <w:tcBorders>
              <w:top w:val="nil"/>
              <w:left w:val="nil"/>
              <w:bottom w:val="nil"/>
              <w:right w:val="nil"/>
            </w:tcBorders>
            <w:shd w:val="clear" w:color="auto" w:fill="auto"/>
            <w:tcMar>
              <w:top w:w="72" w:type="dxa"/>
              <w:left w:w="144" w:type="dxa"/>
              <w:bottom w:w="72" w:type="dxa"/>
              <w:right w:w="144" w:type="dxa"/>
            </w:tcMar>
            <w:vAlign w:val="center"/>
            <w:hideMark/>
          </w:tcPr>
          <w:p w:rsidR="00ED176A" w:rsidRPr="00B26207" w:rsidRDefault="00B26207" w:rsidP="00B26207">
            <w:pPr>
              <w:spacing w:after="0" w:line="240" w:lineRule="auto"/>
            </w:pPr>
            <w:r w:rsidRPr="00B26207">
              <w:t>24%</w:t>
            </w:r>
          </w:p>
        </w:tc>
        <w:tc>
          <w:tcPr>
            <w:tcW w:w="1347" w:type="dxa"/>
            <w:tcBorders>
              <w:top w:val="nil"/>
              <w:left w:val="nil"/>
              <w:bottom w:val="nil"/>
              <w:right w:val="nil"/>
            </w:tcBorders>
            <w:shd w:val="clear" w:color="auto" w:fill="auto"/>
            <w:tcMar>
              <w:top w:w="72" w:type="dxa"/>
              <w:left w:w="144" w:type="dxa"/>
              <w:bottom w:w="72" w:type="dxa"/>
              <w:right w:w="144" w:type="dxa"/>
            </w:tcMar>
            <w:vAlign w:val="center"/>
            <w:hideMark/>
          </w:tcPr>
          <w:p w:rsidR="00ED176A" w:rsidRPr="00B26207" w:rsidRDefault="00B26207" w:rsidP="00B26207">
            <w:pPr>
              <w:spacing w:after="0" w:line="240" w:lineRule="auto"/>
            </w:pPr>
            <w:r w:rsidRPr="00B26207">
              <w:t>15%</w:t>
            </w:r>
          </w:p>
        </w:tc>
      </w:tr>
    </w:tbl>
    <w:p w:rsidR="00422603" w:rsidRPr="005A4ABA" w:rsidRDefault="005A4ABA">
      <w:pPr>
        <w:spacing w:after="0" w:line="240" w:lineRule="auto"/>
        <w:rPr>
          <w:sz w:val="20"/>
          <w:szCs w:val="20"/>
        </w:rPr>
      </w:pPr>
      <w:r w:rsidRPr="005A4ABA">
        <w:rPr>
          <w:sz w:val="20"/>
          <w:szCs w:val="20"/>
        </w:rPr>
        <w:t>Base: All respondents (n=1000).</w:t>
      </w:r>
    </w:p>
    <w:p w:rsidR="00B26207" w:rsidRDefault="00B26207" w:rsidP="005260F0">
      <w:pPr>
        <w:pStyle w:val="Heading2"/>
      </w:pPr>
      <w:bookmarkStart w:id="30" w:name="_Toc435088775"/>
      <w:r w:rsidRPr="00B26207">
        <w:t>Section Summary:</w:t>
      </w:r>
      <w:bookmarkEnd w:id="30"/>
    </w:p>
    <w:p w:rsidR="00C66D3C" w:rsidRDefault="00B26207" w:rsidP="00EE2A31">
      <w:pPr>
        <w:pStyle w:val="ListParagraph"/>
        <w:numPr>
          <w:ilvl w:val="0"/>
          <w:numId w:val="8"/>
        </w:numPr>
        <w:spacing w:after="0" w:line="240" w:lineRule="auto"/>
      </w:pPr>
      <w:r w:rsidRPr="005260F0">
        <w:t xml:space="preserve">1 in 5 </w:t>
      </w:r>
      <w:r w:rsidR="005260F0">
        <w:t xml:space="preserve">(20%) </w:t>
      </w:r>
      <w:r w:rsidRPr="005260F0">
        <w:t>have seen the HSR campaign</w:t>
      </w:r>
      <w:r w:rsidR="00FC2C05">
        <w:t>.</w:t>
      </w:r>
      <w:r w:rsidR="00015B1B">
        <w:t xml:space="preserve"> </w:t>
      </w:r>
    </w:p>
    <w:p w:rsidR="00ED176A" w:rsidRPr="005260F0" w:rsidRDefault="00B26207" w:rsidP="005A0A18">
      <w:pPr>
        <w:numPr>
          <w:ilvl w:val="0"/>
          <w:numId w:val="4"/>
        </w:numPr>
        <w:spacing w:after="0" w:line="240" w:lineRule="auto"/>
      </w:pPr>
      <w:r w:rsidRPr="005260F0">
        <w:t>The pre-roll</w:t>
      </w:r>
      <w:r w:rsidR="00A6020D">
        <w:t xml:space="preserve"> video</w:t>
      </w:r>
      <w:r w:rsidRPr="005260F0">
        <w:t>’s</w:t>
      </w:r>
      <w:r w:rsidR="009B0EFC">
        <w:t xml:space="preserve"> strength was driving awareness,</w:t>
      </w:r>
      <w:r w:rsidRPr="005260F0">
        <w:t xml:space="preserve"> being a clear execution that helped drive usage of the HSR in store.</w:t>
      </w:r>
    </w:p>
    <w:p w:rsidR="00ED176A" w:rsidRPr="005260F0" w:rsidRDefault="00B26207" w:rsidP="00EE2A31">
      <w:pPr>
        <w:numPr>
          <w:ilvl w:val="0"/>
          <w:numId w:val="4"/>
        </w:numPr>
        <w:spacing w:after="0" w:line="240" w:lineRule="auto"/>
      </w:pPr>
      <w:r w:rsidRPr="005260F0">
        <w:t xml:space="preserve">OOH and </w:t>
      </w:r>
      <w:r w:rsidR="008856A8">
        <w:t xml:space="preserve">print </w:t>
      </w:r>
      <w:r w:rsidRPr="005260F0">
        <w:t xml:space="preserve">advertising also helped drive usage of the HSR, along with helping </w:t>
      </w:r>
      <w:r w:rsidR="00C1722E">
        <w:t xml:space="preserve">to </w:t>
      </w:r>
      <w:r w:rsidRPr="005260F0">
        <w:t>boost campaign reach and reinforc</w:t>
      </w:r>
      <w:r w:rsidR="006068DF">
        <w:t>ing</w:t>
      </w:r>
      <w:r w:rsidRPr="005260F0">
        <w:t xml:space="preserve"> messaging through clear, easy to understand executions.</w:t>
      </w:r>
    </w:p>
    <w:p w:rsidR="00ED176A" w:rsidRPr="005260F0" w:rsidRDefault="00B26207" w:rsidP="00EE2A31">
      <w:pPr>
        <w:numPr>
          <w:ilvl w:val="0"/>
          <w:numId w:val="4"/>
        </w:numPr>
        <w:spacing w:after="0" w:line="240" w:lineRule="auto"/>
      </w:pPr>
      <w:r w:rsidRPr="005260F0">
        <w:lastRenderedPageBreak/>
        <w:t>Online played a significant role in driving information seekin</w:t>
      </w:r>
      <w:r w:rsidR="006B02BA">
        <w:t>g, word of mouth,</w:t>
      </w:r>
      <w:r w:rsidRPr="005260F0">
        <w:t xml:space="preserve"> and understanding of the system.</w:t>
      </w:r>
    </w:p>
    <w:p w:rsidR="00B26207" w:rsidRPr="005260F0" w:rsidRDefault="00B26207" w:rsidP="00B26207">
      <w:pPr>
        <w:spacing w:after="0" w:line="240" w:lineRule="auto"/>
      </w:pPr>
      <w:r w:rsidRPr="005260F0">
        <w:t> </w:t>
      </w:r>
    </w:p>
    <w:p w:rsidR="005260F0" w:rsidRDefault="005260F0" w:rsidP="005A0A18">
      <w:pPr>
        <w:pStyle w:val="ListParagraph"/>
        <w:numPr>
          <w:ilvl w:val="0"/>
          <w:numId w:val="8"/>
        </w:numPr>
        <w:spacing w:after="0" w:line="240" w:lineRule="auto"/>
      </w:pPr>
      <w:r>
        <w:t xml:space="preserve">Campaign messaging </w:t>
      </w:r>
      <w:r w:rsidR="003746F4">
        <w:t>i</w:t>
      </w:r>
      <w:r>
        <w:t xml:space="preserve">s generally clear and </w:t>
      </w:r>
      <w:r w:rsidR="00576335">
        <w:t>consistent with the campaign strategy</w:t>
      </w:r>
      <w:r>
        <w:t xml:space="preserve">, although there is some ambiguity regarding whether the campaign was for </w:t>
      </w:r>
      <w:r w:rsidR="006068DF">
        <w:t xml:space="preserve">HSR as a </w:t>
      </w:r>
      <w:r w:rsidRPr="005A0A18">
        <w:t>system</w:t>
      </w:r>
      <w:r>
        <w:t>, or</w:t>
      </w:r>
      <w:r w:rsidR="006068DF">
        <w:t xml:space="preserve"> simply promoting</w:t>
      </w:r>
      <w:r w:rsidR="00217C0F">
        <w:t xml:space="preserve"> the</w:t>
      </w:r>
      <w:r w:rsidR="004B5801">
        <w:t xml:space="preserve"> purchase of</w:t>
      </w:r>
      <w:r w:rsidR="005A6ADC">
        <w:t xml:space="preserve"> </w:t>
      </w:r>
      <w:r>
        <w:t>products</w:t>
      </w:r>
      <w:r w:rsidR="006068DF">
        <w:t xml:space="preserve"> that display HSR</w:t>
      </w:r>
      <w:r>
        <w:t>.</w:t>
      </w:r>
    </w:p>
    <w:p w:rsidR="005260F0" w:rsidRDefault="005260F0" w:rsidP="005A0A18">
      <w:pPr>
        <w:spacing w:after="0" w:line="240" w:lineRule="auto"/>
        <w:ind w:left="360"/>
      </w:pPr>
    </w:p>
    <w:p w:rsidR="005260F0" w:rsidRDefault="006068DF" w:rsidP="005A0A18">
      <w:pPr>
        <w:pStyle w:val="ListParagraph"/>
        <w:numPr>
          <w:ilvl w:val="0"/>
          <w:numId w:val="8"/>
        </w:numPr>
        <w:spacing w:after="0" w:line="240" w:lineRule="auto"/>
      </w:pPr>
      <w:r>
        <w:t>A</w:t>
      </w:r>
      <w:r w:rsidR="005260F0">
        <w:t>ction</w:t>
      </w:r>
      <w:r>
        <w:t xml:space="preserve"> taken as a result of seeing the campaign</w:t>
      </w:r>
      <w:r w:rsidR="005260F0">
        <w:t xml:space="preserve"> </w:t>
      </w:r>
      <w:r w:rsidR="00576335">
        <w:t>is</w:t>
      </w:r>
      <w:r w:rsidR="003746F4">
        <w:t xml:space="preserve"> </w:t>
      </w:r>
      <w:r w:rsidR="005260F0">
        <w:t xml:space="preserve">impressively strong – with 77% of people who saw the campaign </w:t>
      </w:r>
      <w:r w:rsidR="003D6637">
        <w:t>reporting</w:t>
      </w:r>
      <w:r w:rsidR="005260F0">
        <w:t xml:space="preserve"> they had engaged in at least one of the call to action </w:t>
      </w:r>
      <w:r w:rsidR="00FC2C05">
        <w:t>behaviour</w:t>
      </w:r>
      <w:r w:rsidR="00C66D3C">
        <w:t>s</w:t>
      </w:r>
      <w:r w:rsidR="00FC2C05">
        <w:t xml:space="preserve"> </w:t>
      </w:r>
      <w:r w:rsidR="005260F0">
        <w:t>since seeing the campaign.</w:t>
      </w:r>
    </w:p>
    <w:p w:rsidR="005260F0" w:rsidRDefault="005260F0" w:rsidP="005A0A18">
      <w:pPr>
        <w:spacing w:after="0" w:line="240" w:lineRule="auto"/>
        <w:ind w:left="360"/>
      </w:pPr>
    </w:p>
    <w:p w:rsidR="00B26207" w:rsidRPr="005260F0" w:rsidRDefault="008B455A" w:rsidP="005A0A18">
      <w:pPr>
        <w:pStyle w:val="ListParagraph"/>
        <w:numPr>
          <w:ilvl w:val="0"/>
          <w:numId w:val="8"/>
        </w:numPr>
        <w:spacing w:after="0" w:line="240" w:lineRule="auto"/>
      </w:pPr>
      <w:r>
        <w:t>For some,</w:t>
      </w:r>
      <w:r w:rsidR="00015B1B">
        <w:t xml:space="preserve"> </w:t>
      </w:r>
      <w:r>
        <w:t>t</w:t>
      </w:r>
      <w:r w:rsidR="00B26207" w:rsidRPr="005260F0">
        <w:t>here is no</w:t>
      </w:r>
      <w:r w:rsidR="006068DF">
        <w:t>t yet</w:t>
      </w:r>
      <w:r>
        <w:t xml:space="preserve"> a</w:t>
      </w:r>
      <w:r w:rsidR="00B26207" w:rsidRPr="005260F0">
        <w:t xml:space="preserve"> clear understanding of who is behind the campaign</w:t>
      </w:r>
      <w:r w:rsidR="00FC2C05">
        <w:t xml:space="preserve">, although understanding increases amongst those who are aware of the campaign. </w:t>
      </w:r>
    </w:p>
    <w:p w:rsidR="005260F0" w:rsidRPr="005260F0" w:rsidRDefault="005260F0" w:rsidP="005260F0">
      <w:pPr>
        <w:pStyle w:val="Heading2"/>
      </w:pPr>
      <w:bookmarkStart w:id="31" w:name="_Toc435088776"/>
      <w:r>
        <w:t>Key Next Step</w:t>
      </w:r>
      <w:bookmarkEnd w:id="31"/>
    </w:p>
    <w:p w:rsidR="00B26207" w:rsidRPr="005260F0" w:rsidRDefault="00B26207" w:rsidP="00B26207">
      <w:pPr>
        <w:spacing w:after="0" w:line="240" w:lineRule="auto"/>
      </w:pPr>
      <w:r w:rsidRPr="005A6ADC">
        <w:rPr>
          <w:bCs/>
        </w:rPr>
        <w:t xml:space="preserve">One in </w:t>
      </w:r>
      <w:r w:rsidR="004B5801">
        <w:rPr>
          <w:bCs/>
        </w:rPr>
        <w:t>six</w:t>
      </w:r>
      <w:r w:rsidRPr="005A6ADC">
        <w:rPr>
          <w:bCs/>
        </w:rPr>
        <w:t xml:space="preserve"> people who saw the campaign agreed the campaign communicate</w:t>
      </w:r>
      <w:r w:rsidR="00C66D3C">
        <w:rPr>
          <w:bCs/>
        </w:rPr>
        <w:t>s</w:t>
      </w:r>
      <w:r w:rsidRPr="005A6ADC">
        <w:rPr>
          <w:bCs/>
        </w:rPr>
        <w:t xml:space="preserve"> they should buy packaged foods instead of unpackaged foods.</w:t>
      </w:r>
      <w:r w:rsidR="00FC2C05">
        <w:rPr>
          <w:bCs/>
        </w:rPr>
        <w:t xml:space="preserve"> </w:t>
      </w:r>
      <w:r w:rsidRPr="005260F0">
        <w:t>This highlights the need to ensure th</w:t>
      </w:r>
      <w:r w:rsidR="00DC4555">
        <w:t>at</w:t>
      </w:r>
      <w:r w:rsidRPr="005260F0">
        <w:t xml:space="preserve"> </w:t>
      </w:r>
      <w:r w:rsidR="00DC4555">
        <w:t xml:space="preserve">ongoing </w:t>
      </w:r>
      <w:r w:rsidRPr="005260F0">
        <w:t xml:space="preserve">marketing </w:t>
      </w:r>
      <w:r w:rsidR="00DC4555">
        <w:t xml:space="preserve">efforts and public relations </w:t>
      </w:r>
      <w:r w:rsidRPr="005260F0">
        <w:t>address the fact</w:t>
      </w:r>
      <w:r w:rsidR="00697179">
        <w:t xml:space="preserve"> that </w:t>
      </w:r>
      <w:r w:rsidR="00DC4555">
        <w:t>HSR is for</w:t>
      </w:r>
      <w:r w:rsidRPr="005260F0">
        <w:t xml:space="preserve"> packaged foods only, and does not imply packaged foods are healthier than fresh foods.</w:t>
      </w:r>
    </w:p>
    <w:p w:rsidR="005B3A9C" w:rsidRPr="009A6D30" w:rsidRDefault="00B53731" w:rsidP="009A6D30">
      <w:pPr>
        <w:pStyle w:val="Heading1"/>
        <w:rPr>
          <w:rStyle w:val="IntenseReference"/>
          <w:b w:val="0"/>
          <w:bCs/>
          <w:i w:val="0"/>
          <w:smallCaps w:val="0"/>
          <w:spacing w:val="0"/>
          <w:u w:val="single"/>
        </w:rPr>
      </w:pPr>
      <w:bookmarkStart w:id="32" w:name="_Toc435088777"/>
      <w:r w:rsidRPr="00EE2A31">
        <w:rPr>
          <w:rStyle w:val="IntenseReference"/>
          <w:b w:val="0"/>
          <w:bCs/>
          <w:i w:val="0"/>
          <w:smallCaps w:val="0"/>
          <w:color w:val="000000" w:themeColor="text1"/>
          <w:spacing w:val="0"/>
          <w:u w:val="single"/>
        </w:rPr>
        <w:t xml:space="preserve">Campaign Impact </w:t>
      </w:r>
      <w:r>
        <w:rPr>
          <w:rStyle w:val="IntenseReference"/>
          <w:b w:val="0"/>
          <w:bCs/>
          <w:i w:val="0"/>
          <w:smallCaps w:val="0"/>
          <w:color w:val="000000" w:themeColor="text1"/>
          <w:spacing w:val="0"/>
          <w:u w:val="single"/>
        </w:rPr>
        <w:t>o</w:t>
      </w:r>
      <w:r w:rsidRPr="00EE2A31">
        <w:rPr>
          <w:rStyle w:val="IntenseReference"/>
          <w:b w:val="0"/>
          <w:bCs/>
          <w:i w:val="0"/>
          <w:smallCaps w:val="0"/>
          <w:color w:val="000000" w:themeColor="text1"/>
          <w:spacing w:val="0"/>
          <w:u w:val="single"/>
        </w:rPr>
        <w:t>n Key Metrics</w:t>
      </w:r>
      <w:bookmarkEnd w:id="32"/>
    </w:p>
    <w:p w:rsidR="000A0F08" w:rsidRDefault="000A0F08" w:rsidP="000A0F08">
      <w:pPr>
        <w:pStyle w:val="Heading2"/>
      </w:pPr>
      <w:bookmarkStart w:id="33" w:name="_Toc435088778"/>
      <w:bookmarkStart w:id="34" w:name="_Toc426618783"/>
      <w:r>
        <w:t>Health Star Rating Awareness</w:t>
      </w:r>
      <w:bookmarkEnd w:id="33"/>
    </w:p>
    <w:p w:rsidR="00C66D3C" w:rsidRDefault="00B26207" w:rsidP="00B26207">
      <w:pPr>
        <w:rPr>
          <w:bCs/>
        </w:rPr>
      </w:pPr>
      <w:r w:rsidRPr="00CF485F">
        <w:t xml:space="preserve">The campaign appears to have significantly driven </w:t>
      </w:r>
      <w:r w:rsidR="00CF485F">
        <w:t>awareness of the Health Star Rating</w:t>
      </w:r>
      <w:r w:rsidR="00DC4555">
        <w:t>.</w:t>
      </w:r>
      <w:r w:rsidR="000A0F08">
        <w:t xml:space="preserve"> Prompted a</w:t>
      </w:r>
      <w:r w:rsidRPr="00CF485F">
        <w:rPr>
          <w:bCs/>
        </w:rPr>
        <w:t xml:space="preserve">wareness has </w:t>
      </w:r>
      <w:r w:rsidR="000A0F08">
        <w:rPr>
          <w:bCs/>
        </w:rPr>
        <w:t xml:space="preserve">significantly </w:t>
      </w:r>
      <w:r w:rsidRPr="00CF485F">
        <w:rPr>
          <w:bCs/>
        </w:rPr>
        <w:t xml:space="preserve">increased </w:t>
      </w:r>
      <w:r w:rsidR="000A0F08">
        <w:rPr>
          <w:bCs/>
        </w:rPr>
        <w:t xml:space="preserve">by </w:t>
      </w:r>
      <w:r w:rsidRPr="00CF485F">
        <w:rPr>
          <w:bCs/>
        </w:rPr>
        <w:t>26%</w:t>
      </w:r>
      <w:r w:rsidR="00DC4555">
        <w:rPr>
          <w:bCs/>
        </w:rPr>
        <w:t xml:space="preserve">. </w:t>
      </w:r>
      <w:r w:rsidR="007538BB">
        <w:rPr>
          <w:bCs/>
        </w:rPr>
        <w:t>Although it must be noted that commercial advertising from foods carrying the HSR may be contributing, this research repeatedly finds significant differences in understanding and awareness of HSR</w:t>
      </w:r>
      <w:r w:rsidR="000A0F08">
        <w:rPr>
          <w:bCs/>
        </w:rPr>
        <w:t xml:space="preserve"> among </w:t>
      </w:r>
      <w:r w:rsidRPr="00CF485F">
        <w:rPr>
          <w:bCs/>
        </w:rPr>
        <w:t>those who have seen the campaign</w:t>
      </w:r>
      <w:r w:rsidR="00214FB7">
        <w:rPr>
          <w:bCs/>
        </w:rPr>
        <w:t>, compared to the total sample</w:t>
      </w:r>
      <w:r w:rsidR="007538BB">
        <w:rPr>
          <w:bCs/>
        </w:rPr>
        <w:t>. Impressively,</w:t>
      </w:r>
      <w:r w:rsidR="00E86674">
        <w:rPr>
          <w:bCs/>
        </w:rPr>
        <w:t xml:space="preserve"> </w:t>
      </w:r>
      <w:r w:rsidRPr="00CF485F">
        <w:rPr>
          <w:bCs/>
        </w:rPr>
        <w:t xml:space="preserve">nearly one in five </w:t>
      </w:r>
      <w:r w:rsidR="000A0F08">
        <w:rPr>
          <w:bCs/>
        </w:rPr>
        <w:t xml:space="preserve">(18%) </w:t>
      </w:r>
      <w:r w:rsidR="007538BB">
        <w:rPr>
          <w:bCs/>
        </w:rPr>
        <w:t xml:space="preserve">of campaign recognisers </w:t>
      </w:r>
      <w:r w:rsidRPr="00CF485F">
        <w:rPr>
          <w:bCs/>
        </w:rPr>
        <w:t xml:space="preserve">mention the HSR </w:t>
      </w:r>
      <w:r w:rsidR="00DC4555">
        <w:rPr>
          <w:bCs/>
        </w:rPr>
        <w:t xml:space="preserve">unprompted </w:t>
      </w:r>
      <w:r w:rsidRPr="00CF485F">
        <w:rPr>
          <w:bCs/>
        </w:rPr>
        <w:t>as the first type of nutrition logo or labelling they think of</w:t>
      </w:r>
      <w:r w:rsidR="007538BB">
        <w:rPr>
          <w:bCs/>
        </w:rPr>
        <w:t>, as opposed to 8% overall</w:t>
      </w:r>
      <w:r w:rsidR="00E47410">
        <w:rPr>
          <w:bCs/>
        </w:rPr>
        <w:t>, which is a strong result for a new entry to any market. With further support through marketing</w:t>
      </w:r>
      <w:r w:rsidR="00C66D3C">
        <w:rPr>
          <w:bCs/>
        </w:rPr>
        <w:t xml:space="preserve"> and public relations</w:t>
      </w:r>
      <w:r w:rsidR="00E47410">
        <w:rPr>
          <w:bCs/>
        </w:rPr>
        <w:t xml:space="preserve"> activities, this could be driven notably higher</w:t>
      </w:r>
      <w:r w:rsidR="000A0F08">
        <w:rPr>
          <w:bCs/>
        </w:rPr>
        <w:t>.</w:t>
      </w:r>
    </w:p>
    <w:p w:rsidR="00C66D3C" w:rsidRDefault="00C66D3C">
      <w:pPr>
        <w:spacing w:after="0" w:line="240" w:lineRule="auto"/>
        <w:rPr>
          <w:bCs/>
        </w:rPr>
      </w:pPr>
      <w:r>
        <w:rPr>
          <w:bCs/>
        </w:rPr>
        <w:br w:type="page"/>
      </w:r>
    </w:p>
    <w:p w:rsidR="000A0F08" w:rsidRPr="00BE6346" w:rsidRDefault="000A0F08" w:rsidP="005A6ADC">
      <w:pPr>
        <w:pStyle w:val="Caption"/>
      </w:pPr>
      <w:r w:rsidRPr="00BE6346">
        <w:lastRenderedPageBreak/>
        <w:t xml:space="preserve">Figure </w:t>
      </w:r>
      <w:r w:rsidR="00185B9F">
        <w:t>13</w:t>
      </w:r>
      <w:r w:rsidRPr="00BE6346">
        <w:t xml:space="preserve"> </w:t>
      </w:r>
      <w:r w:rsidR="00D217F1">
        <w:t>–</w:t>
      </w:r>
      <w:r w:rsidRPr="00BE6346">
        <w:t xml:space="preserve"> </w:t>
      </w:r>
      <w:r w:rsidR="004818FF" w:rsidRPr="00185B9F">
        <w:t>Which of the following nutrition logos or labelling on food packaging have you heard of?</w:t>
      </w:r>
      <w:r w:rsidR="004818FF">
        <w:t xml:space="preserve"> (HSR awareness only)</w:t>
      </w:r>
    </w:p>
    <w:p w:rsidR="00B26207" w:rsidRPr="008827E3" w:rsidRDefault="00B26207" w:rsidP="00B26207">
      <w:r w:rsidRPr="00B26207">
        <w:rPr>
          <w:noProof/>
          <w:lang w:eastAsia="en-AU"/>
        </w:rPr>
        <w:drawing>
          <wp:inline distT="0" distB="0" distL="0" distR="0" wp14:anchorId="26470429" wp14:editId="0D7770F0">
            <wp:extent cx="5273749" cy="2094614"/>
            <wp:effectExtent l="0" t="0" r="22225" b="20320"/>
            <wp:docPr id="37" name="Chart 37" descr="Figure 13 is a vertical bar chart which compares top of the mind awareness, total spontaneous awareness and prompted awareness between all respondents and those that have seen the campaign. The results are also discussed in the paragraph preceding the chart. Detailed findings, comparing total sample and campaign recognisers respectively, are as follows: &#10;Overall awareness, 42% vs 68%; Prompted awareness, 26% vs 41%; Top of Mind awareness, 8% vs 18%; and Other spontaneous awareness, 8% vs 9%.&#10;" title="Figure 13 - Which of the following nutrition logos or labelling on food packaging have you heard of? (HSR awareness only)"/>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4D4A04" w:rsidRPr="004D4A04">
        <w:rPr>
          <w:sz w:val="20"/>
          <w:szCs w:val="20"/>
        </w:rPr>
        <w:t>Base: All respondents (n=1000).</w:t>
      </w:r>
    </w:p>
    <w:p w:rsidR="000A0F08" w:rsidRDefault="00DC4555" w:rsidP="000A0F08">
      <w:pPr>
        <w:pStyle w:val="Heading2"/>
      </w:pPr>
      <w:bookmarkStart w:id="35" w:name="_Toc435088779"/>
      <w:r>
        <w:t xml:space="preserve">Understanding of the </w:t>
      </w:r>
      <w:r w:rsidR="000A0F08">
        <w:t>Health Star Rating</w:t>
      </w:r>
      <w:bookmarkEnd w:id="35"/>
      <w:r w:rsidR="000A0F08">
        <w:t xml:space="preserve"> </w:t>
      </w:r>
    </w:p>
    <w:p w:rsidR="00B26207" w:rsidRDefault="000A0F08" w:rsidP="00B26207">
      <w:r>
        <w:t xml:space="preserve">The campaign is also having a positive impact on </w:t>
      </w:r>
      <w:r w:rsidR="00852673">
        <w:t xml:space="preserve">the </w:t>
      </w:r>
      <w:r>
        <w:t>understandin</w:t>
      </w:r>
      <w:r w:rsidR="00E86674">
        <w:t>g of the HSR;</w:t>
      </w:r>
      <w:r>
        <w:t xml:space="preserve"> t</w:t>
      </w:r>
      <w:r w:rsidR="00B26207" w:rsidRPr="00B26207">
        <w:t>hose who have seen the HSR</w:t>
      </w:r>
      <w:r w:rsidR="004B5801">
        <w:t xml:space="preserve"> campaign</w:t>
      </w:r>
      <w:r w:rsidR="00B26207" w:rsidRPr="00B26207">
        <w:t xml:space="preserve"> are more likely to </w:t>
      </w:r>
      <w:r w:rsidR="00DC4555">
        <w:t xml:space="preserve">accurately describe </w:t>
      </w:r>
      <w:r w:rsidR="00B26207" w:rsidRPr="00B26207">
        <w:t xml:space="preserve">how to use the </w:t>
      </w:r>
      <w:r w:rsidR="004B5801">
        <w:t xml:space="preserve">HSR </w:t>
      </w:r>
      <w:r w:rsidR="00B26207" w:rsidRPr="00B26207">
        <w:t>system</w:t>
      </w:r>
      <w:r w:rsidR="00C66D3C">
        <w:t xml:space="preserve"> (71% compared to 64% overall)</w:t>
      </w:r>
      <w:r w:rsidR="007538BB">
        <w:t xml:space="preserve">, and are half as likely </w:t>
      </w:r>
      <w:r w:rsidR="004B5801">
        <w:t>to say that they don’t know how to use HSR</w:t>
      </w:r>
      <w:r w:rsidR="00C66D3C">
        <w:t xml:space="preserve"> (11%, compared to 22% overall)</w:t>
      </w:r>
      <w:r w:rsidR="004B5801">
        <w:t>.</w:t>
      </w:r>
      <w:r>
        <w:t xml:space="preserve"> </w:t>
      </w:r>
    </w:p>
    <w:p w:rsidR="00466125" w:rsidRDefault="00466125" w:rsidP="00B26207">
      <w:r>
        <w:t xml:space="preserve">These results are detailed in Table 8 below. </w:t>
      </w:r>
    </w:p>
    <w:p w:rsidR="00466125" w:rsidRDefault="00466125">
      <w:pPr>
        <w:spacing w:after="0" w:line="240" w:lineRule="auto"/>
      </w:pPr>
      <w:r>
        <w:br w:type="page"/>
      </w:r>
    </w:p>
    <w:p w:rsidR="000A0F08" w:rsidRPr="008827E3" w:rsidRDefault="000A0F08" w:rsidP="008827E3">
      <w:pPr>
        <w:spacing w:after="0" w:line="240" w:lineRule="auto"/>
        <w:rPr>
          <w:bCs/>
          <w:color w:val="404040" w:themeColor="text1" w:themeTint="BF"/>
          <w:sz w:val="20"/>
          <w:szCs w:val="18"/>
        </w:rPr>
      </w:pPr>
      <w:r w:rsidRPr="00270839">
        <w:lastRenderedPageBreak/>
        <w:t xml:space="preserve">Table </w:t>
      </w:r>
      <w:r w:rsidR="007A0132" w:rsidRPr="00270839">
        <w:t>8</w:t>
      </w:r>
      <w:r w:rsidRPr="00270839">
        <w:t xml:space="preserve"> - </w:t>
      </w:r>
      <w:r w:rsidR="004D4A04" w:rsidRPr="00270839">
        <w:t>How would you use this system?</w:t>
      </w:r>
    </w:p>
    <w:tbl>
      <w:tblPr>
        <w:tblW w:w="7640" w:type="dxa"/>
        <w:tblCellMar>
          <w:left w:w="0" w:type="dxa"/>
          <w:right w:w="0" w:type="dxa"/>
        </w:tblCellMar>
        <w:tblLook w:val="0420" w:firstRow="1" w:lastRow="0" w:firstColumn="0" w:lastColumn="0" w:noHBand="0" w:noVBand="1"/>
      </w:tblPr>
      <w:tblGrid>
        <w:gridCol w:w="4980"/>
        <w:gridCol w:w="1220"/>
        <w:gridCol w:w="1440"/>
      </w:tblGrid>
      <w:tr w:rsidR="00B26207" w:rsidRPr="00B26207" w:rsidTr="00E6724B">
        <w:trPr>
          <w:trHeight w:val="660"/>
        </w:trPr>
        <w:tc>
          <w:tcPr>
            <w:tcW w:w="4980" w:type="dxa"/>
            <w:tcBorders>
              <w:top w:val="nil"/>
              <w:left w:val="nil"/>
              <w:bottom w:val="single" w:sz="4" w:space="0" w:color="auto"/>
              <w:right w:val="nil"/>
            </w:tcBorders>
            <w:shd w:val="clear" w:color="auto" w:fill="auto"/>
            <w:tcMar>
              <w:top w:w="72" w:type="dxa"/>
              <w:left w:w="15" w:type="dxa"/>
              <w:bottom w:w="72" w:type="dxa"/>
              <w:right w:w="144" w:type="dxa"/>
            </w:tcMar>
            <w:vAlign w:val="bottom"/>
            <w:hideMark/>
          </w:tcPr>
          <w:p w:rsidR="00ED176A" w:rsidRPr="00EE2A31" w:rsidRDefault="00B26207" w:rsidP="00B26207">
            <w:pPr>
              <w:rPr>
                <w:color w:val="000000" w:themeColor="text1"/>
              </w:rPr>
            </w:pPr>
            <w:r w:rsidRPr="00EE2A31">
              <w:rPr>
                <w:bCs/>
                <w:color w:val="000000" w:themeColor="text1"/>
              </w:rPr>
              <w:t>Responses</w:t>
            </w:r>
          </w:p>
        </w:tc>
        <w:tc>
          <w:tcPr>
            <w:tcW w:w="1220" w:type="dxa"/>
            <w:tcBorders>
              <w:top w:val="nil"/>
              <w:left w:val="nil"/>
              <w:bottom w:val="single" w:sz="4" w:space="0" w:color="auto"/>
              <w:right w:val="nil"/>
            </w:tcBorders>
            <w:shd w:val="clear" w:color="auto" w:fill="auto"/>
            <w:tcMar>
              <w:top w:w="72" w:type="dxa"/>
              <w:left w:w="144" w:type="dxa"/>
              <w:bottom w:w="72" w:type="dxa"/>
              <w:right w:w="144" w:type="dxa"/>
            </w:tcMar>
            <w:vAlign w:val="bottom"/>
            <w:hideMark/>
          </w:tcPr>
          <w:p w:rsidR="00ED176A" w:rsidRPr="00EE2A31" w:rsidRDefault="00B26207" w:rsidP="0057604B">
            <w:pPr>
              <w:jc w:val="center"/>
              <w:rPr>
                <w:color w:val="000000" w:themeColor="text1"/>
              </w:rPr>
            </w:pPr>
            <w:r w:rsidRPr="00EE2A31">
              <w:rPr>
                <w:bCs/>
                <w:color w:val="000000" w:themeColor="text1"/>
              </w:rPr>
              <w:t>Total Sample</w:t>
            </w:r>
          </w:p>
        </w:tc>
        <w:tc>
          <w:tcPr>
            <w:tcW w:w="1440" w:type="dxa"/>
            <w:tcBorders>
              <w:top w:val="nil"/>
              <w:left w:val="nil"/>
              <w:bottom w:val="single" w:sz="4" w:space="0" w:color="auto"/>
              <w:right w:val="nil"/>
            </w:tcBorders>
            <w:shd w:val="clear" w:color="auto" w:fill="auto"/>
            <w:tcMar>
              <w:top w:w="72" w:type="dxa"/>
              <w:left w:w="144" w:type="dxa"/>
              <w:bottom w:w="72" w:type="dxa"/>
              <w:right w:w="144" w:type="dxa"/>
            </w:tcMar>
            <w:vAlign w:val="bottom"/>
            <w:hideMark/>
          </w:tcPr>
          <w:p w:rsidR="00ED176A" w:rsidRPr="00EE2A31" w:rsidRDefault="00B26207" w:rsidP="0057604B">
            <w:pPr>
              <w:jc w:val="center"/>
              <w:rPr>
                <w:color w:val="000000" w:themeColor="text1"/>
              </w:rPr>
            </w:pPr>
            <w:r w:rsidRPr="00EE2A31">
              <w:rPr>
                <w:bCs/>
                <w:color w:val="000000" w:themeColor="text1"/>
              </w:rPr>
              <w:t>Seen campaign</w:t>
            </w:r>
          </w:p>
        </w:tc>
      </w:tr>
      <w:tr w:rsidR="00B26207" w:rsidRPr="00B26207" w:rsidTr="00E6724B">
        <w:trPr>
          <w:trHeight w:val="362"/>
        </w:trPr>
        <w:tc>
          <w:tcPr>
            <w:tcW w:w="4980" w:type="dxa"/>
            <w:tcBorders>
              <w:top w:val="single" w:sz="4" w:space="0" w:color="auto"/>
              <w:left w:val="nil"/>
              <w:bottom w:val="nil"/>
              <w:right w:val="nil"/>
            </w:tcBorders>
            <w:shd w:val="clear" w:color="auto" w:fill="FFF6D7"/>
            <w:tcMar>
              <w:top w:w="15" w:type="dxa"/>
              <w:left w:w="15" w:type="dxa"/>
              <w:bottom w:w="0" w:type="dxa"/>
              <w:right w:w="15" w:type="dxa"/>
            </w:tcMar>
            <w:vAlign w:val="center"/>
            <w:hideMark/>
          </w:tcPr>
          <w:p w:rsidR="00ED176A" w:rsidRPr="00B26207" w:rsidRDefault="00B26207" w:rsidP="00E377A8">
            <w:pPr>
              <w:spacing w:line="240" w:lineRule="auto"/>
            </w:pPr>
            <w:r w:rsidRPr="00B26207">
              <w:t>NET accurate understanding of the HSR</w:t>
            </w:r>
          </w:p>
        </w:tc>
        <w:tc>
          <w:tcPr>
            <w:tcW w:w="1220" w:type="dxa"/>
            <w:tcBorders>
              <w:top w:val="single" w:sz="4" w:space="0" w:color="auto"/>
              <w:left w:val="nil"/>
              <w:bottom w:val="nil"/>
              <w:right w:val="nil"/>
            </w:tcBorders>
            <w:shd w:val="clear" w:color="auto" w:fill="FFF6D7"/>
            <w:tcMar>
              <w:top w:w="15" w:type="dxa"/>
              <w:left w:w="15" w:type="dxa"/>
              <w:bottom w:w="0" w:type="dxa"/>
              <w:right w:w="15" w:type="dxa"/>
            </w:tcMar>
            <w:vAlign w:val="center"/>
            <w:hideMark/>
          </w:tcPr>
          <w:p w:rsidR="00ED176A" w:rsidRPr="00B26207" w:rsidRDefault="00B26207" w:rsidP="00E377A8">
            <w:pPr>
              <w:spacing w:line="240" w:lineRule="auto"/>
              <w:jc w:val="center"/>
            </w:pPr>
            <w:r w:rsidRPr="00B26207">
              <w:t>64%</w:t>
            </w:r>
          </w:p>
        </w:tc>
        <w:tc>
          <w:tcPr>
            <w:tcW w:w="1440" w:type="dxa"/>
            <w:tcBorders>
              <w:top w:val="single" w:sz="4" w:space="0" w:color="auto"/>
              <w:left w:val="nil"/>
              <w:bottom w:val="nil"/>
              <w:right w:val="nil"/>
            </w:tcBorders>
            <w:shd w:val="clear" w:color="auto" w:fill="FFF6D7"/>
            <w:tcMar>
              <w:top w:w="15" w:type="dxa"/>
              <w:left w:w="15" w:type="dxa"/>
              <w:bottom w:w="0" w:type="dxa"/>
              <w:right w:w="15" w:type="dxa"/>
            </w:tcMar>
            <w:vAlign w:val="center"/>
            <w:hideMark/>
          </w:tcPr>
          <w:p w:rsidR="00ED176A" w:rsidRPr="00B26207" w:rsidRDefault="00B26207" w:rsidP="00E377A8">
            <w:pPr>
              <w:spacing w:line="240" w:lineRule="auto"/>
              <w:jc w:val="center"/>
            </w:pPr>
            <w:r w:rsidRPr="00B26207">
              <w:t>71%</w:t>
            </w:r>
          </w:p>
        </w:tc>
      </w:tr>
      <w:tr w:rsidR="00B26207" w:rsidRPr="00B26207" w:rsidTr="00B26207">
        <w:trPr>
          <w:trHeight w:val="362"/>
        </w:trPr>
        <w:tc>
          <w:tcPr>
            <w:tcW w:w="498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B26207">
            <w:r w:rsidRPr="00B26207">
              <w:t>The more stars the better/healthier</w:t>
            </w:r>
          </w:p>
        </w:tc>
        <w:tc>
          <w:tcPr>
            <w:tcW w:w="122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57604B">
            <w:pPr>
              <w:jc w:val="center"/>
            </w:pPr>
            <w:r w:rsidRPr="00B26207">
              <w:t>29%</w:t>
            </w:r>
          </w:p>
        </w:tc>
        <w:tc>
          <w:tcPr>
            <w:tcW w:w="144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57604B">
            <w:pPr>
              <w:jc w:val="center"/>
            </w:pPr>
            <w:r w:rsidRPr="00B26207">
              <w:t>31%</w:t>
            </w:r>
          </w:p>
        </w:tc>
      </w:tr>
      <w:tr w:rsidR="00B26207" w:rsidRPr="00B26207" w:rsidTr="00B26207">
        <w:trPr>
          <w:trHeight w:val="362"/>
        </w:trPr>
        <w:tc>
          <w:tcPr>
            <w:tcW w:w="498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B26207">
            <w:r w:rsidRPr="00B26207">
              <w:t>Buy/choose products with more/the most stars</w:t>
            </w:r>
          </w:p>
        </w:tc>
        <w:tc>
          <w:tcPr>
            <w:tcW w:w="122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57604B">
            <w:pPr>
              <w:jc w:val="center"/>
            </w:pPr>
            <w:r w:rsidRPr="00B26207">
              <w:t>11%</w:t>
            </w:r>
          </w:p>
        </w:tc>
        <w:tc>
          <w:tcPr>
            <w:tcW w:w="144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57604B">
            <w:pPr>
              <w:jc w:val="center"/>
            </w:pPr>
            <w:r w:rsidRPr="00B26207">
              <w:t>11%</w:t>
            </w:r>
          </w:p>
        </w:tc>
      </w:tr>
      <w:tr w:rsidR="00B26207" w:rsidRPr="00B26207" w:rsidTr="00B26207">
        <w:trPr>
          <w:trHeight w:val="362"/>
        </w:trPr>
        <w:tc>
          <w:tcPr>
            <w:tcW w:w="498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B26207">
            <w:r w:rsidRPr="00B26207">
              <w:t>To know what is healthier/better for me</w:t>
            </w:r>
          </w:p>
        </w:tc>
        <w:tc>
          <w:tcPr>
            <w:tcW w:w="122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57604B">
            <w:pPr>
              <w:jc w:val="center"/>
            </w:pPr>
            <w:r w:rsidRPr="00B26207">
              <w:t>8%</w:t>
            </w:r>
          </w:p>
        </w:tc>
        <w:tc>
          <w:tcPr>
            <w:tcW w:w="144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57604B">
            <w:pPr>
              <w:jc w:val="center"/>
            </w:pPr>
            <w:r w:rsidRPr="00B26207">
              <w:t>12%</w:t>
            </w:r>
          </w:p>
        </w:tc>
      </w:tr>
      <w:tr w:rsidR="00B26207" w:rsidRPr="00B26207" w:rsidTr="00B26207">
        <w:trPr>
          <w:trHeight w:val="362"/>
        </w:trPr>
        <w:tc>
          <w:tcPr>
            <w:tcW w:w="498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B26207">
            <w:r w:rsidRPr="00B26207">
              <w:t>Four stars would be the healthiest/my choice</w:t>
            </w:r>
          </w:p>
        </w:tc>
        <w:tc>
          <w:tcPr>
            <w:tcW w:w="122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57604B">
            <w:pPr>
              <w:jc w:val="center"/>
            </w:pPr>
            <w:r w:rsidRPr="00B26207">
              <w:t>6%</w:t>
            </w:r>
          </w:p>
        </w:tc>
        <w:tc>
          <w:tcPr>
            <w:tcW w:w="144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57604B">
            <w:pPr>
              <w:jc w:val="center"/>
            </w:pPr>
            <w:r w:rsidRPr="00B26207">
              <w:t>8%</w:t>
            </w:r>
          </w:p>
        </w:tc>
      </w:tr>
      <w:tr w:rsidR="00B26207" w:rsidRPr="00B26207" w:rsidTr="00B26207">
        <w:trPr>
          <w:trHeight w:val="404"/>
        </w:trPr>
        <w:tc>
          <w:tcPr>
            <w:tcW w:w="498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B26207">
            <w:r w:rsidRPr="00B26207">
              <w:t>To choose between similar products</w:t>
            </w:r>
          </w:p>
        </w:tc>
        <w:tc>
          <w:tcPr>
            <w:tcW w:w="122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57604B">
            <w:pPr>
              <w:jc w:val="center"/>
            </w:pPr>
            <w:r w:rsidRPr="00B26207">
              <w:t>4%</w:t>
            </w:r>
          </w:p>
        </w:tc>
        <w:tc>
          <w:tcPr>
            <w:tcW w:w="144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57604B">
            <w:pPr>
              <w:jc w:val="center"/>
            </w:pPr>
            <w:r w:rsidRPr="00B26207">
              <w:t>4%</w:t>
            </w:r>
          </w:p>
        </w:tc>
      </w:tr>
      <w:tr w:rsidR="00B26207" w:rsidRPr="00B26207" w:rsidTr="00B26207">
        <w:trPr>
          <w:trHeight w:val="362"/>
        </w:trPr>
        <w:tc>
          <w:tcPr>
            <w:tcW w:w="498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B26207">
            <w:r w:rsidRPr="00B26207">
              <w:t>Comparing the number of stars</w:t>
            </w:r>
          </w:p>
        </w:tc>
        <w:tc>
          <w:tcPr>
            <w:tcW w:w="122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57604B">
            <w:pPr>
              <w:jc w:val="center"/>
            </w:pPr>
            <w:r w:rsidRPr="00B26207">
              <w:t>4%</w:t>
            </w:r>
          </w:p>
        </w:tc>
        <w:tc>
          <w:tcPr>
            <w:tcW w:w="144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57604B">
            <w:pPr>
              <w:jc w:val="center"/>
            </w:pPr>
            <w:r w:rsidRPr="00B26207">
              <w:t>5%</w:t>
            </w:r>
          </w:p>
        </w:tc>
      </w:tr>
      <w:tr w:rsidR="00B26207" w:rsidRPr="00B26207" w:rsidTr="00B26207">
        <w:trPr>
          <w:trHeight w:val="362"/>
        </w:trPr>
        <w:tc>
          <w:tcPr>
            <w:tcW w:w="498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B26207">
            <w:r w:rsidRPr="00B26207">
              <w:t>I'd use it for quick reference</w:t>
            </w:r>
          </w:p>
        </w:tc>
        <w:tc>
          <w:tcPr>
            <w:tcW w:w="122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57604B">
            <w:pPr>
              <w:jc w:val="center"/>
            </w:pPr>
            <w:r w:rsidRPr="00B26207">
              <w:t>3%</w:t>
            </w:r>
          </w:p>
        </w:tc>
        <w:tc>
          <w:tcPr>
            <w:tcW w:w="144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57604B">
            <w:pPr>
              <w:jc w:val="center"/>
            </w:pPr>
            <w:r w:rsidRPr="00B26207">
              <w:t>3%</w:t>
            </w:r>
          </w:p>
        </w:tc>
      </w:tr>
      <w:tr w:rsidR="00B26207" w:rsidRPr="00B26207" w:rsidTr="00B26207">
        <w:trPr>
          <w:trHeight w:val="505"/>
        </w:trPr>
        <w:tc>
          <w:tcPr>
            <w:tcW w:w="498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B26207">
            <w:r w:rsidRPr="00B26207">
              <w:t>To help make choices over which product to buy</w:t>
            </w:r>
          </w:p>
        </w:tc>
        <w:tc>
          <w:tcPr>
            <w:tcW w:w="122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57604B">
            <w:pPr>
              <w:jc w:val="center"/>
            </w:pPr>
            <w:r w:rsidRPr="00B26207">
              <w:t>2%</w:t>
            </w:r>
          </w:p>
        </w:tc>
        <w:tc>
          <w:tcPr>
            <w:tcW w:w="144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57604B">
            <w:pPr>
              <w:jc w:val="center"/>
            </w:pPr>
            <w:r w:rsidRPr="00B26207">
              <w:t>2%</w:t>
            </w:r>
          </w:p>
        </w:tc>
      </w:tr>
      <w:tr w:rsidR="00B26207" w:rsidRPr="00B26207" w:rsidTr="00B26207">
        <w:trPr>
          <w:trHeight w:val="505"/>
        </w:trPr>
        <w:tc>
          <w:tcPr>
            <w:tcW w:w="498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B26207">
            <w:r w:rsidRPr="00B26207">
              <w:t>I would compare the number of stars, but also consider price before purchasing</w:t>
            </w:r>
          </w:p>
        </w:tc>
        <w:tc>
          <w:tcPr>
            <w:tcW w:w="122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57604B">
            <w:pPr>
              <w:jc w:val="center"/>
            </w:pPr>
            <w:r w:rsidRPr="00B26207">
              <w:t>2%</w:t>
            </w:r>
          </w:p>
        </w:tc>
        <w:tc>
          <w:tcPr>
            <w:tcW w:w="144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57604B">
            <w:pPr>
              <w:jc w:val="center"/>
            </w:pPr>
            <w:r w:rsidRPr="00B26207">
              <w:t>1%</w:t>
            </w:r>
          </w:p>
        </w:tc>
      </w:tr>
      <w:tr w:rsidR="00B26207" w:rsidRPr="00B26207" w:rsidTr="00B26207">
        <w:trPr>
          <w:trHeight w:val="461"/>
        </w:trPr>
        <w:tc>
          <w:tcPr>
            <w:tcW w:w="498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B26207">
            <w:r w:rsidRPr="00B26207">
              <w:t>As a general guide</w:t>
            </w:r>
          </w:p>
        </w:tc>
        <w:tc>
          <w:tcPr>
            <w:tcW w:w="122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57604B">
            <w:pPr>
              <w:jc w:val="center"/>
            </w:pPr>
            <w:r w:rsidRPr="00B26207">
              <w:t>1%</w:t>
            </w:r>
          </w:p>
        </w:tc>
        <w:tc>
          <w:tcPr>
            <w:tcW w:w="144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57604B">
            <w:pPr>
              <w:jc w:val="center"/>
            </w:pPr>
            <w:r w:rsidRPr="00B26207">
              <w:t>2%</w:t>
            </w:r>
          </w:p>
        </w:tc>
      </w:tr>
      <w:tr w:rsidR="00B26207" w:rsidRPr="00B26207" w:rsidTr="009A6D30">
        <w:trPr>
          <w:trHeight w:val="663"/>
        </w:trPr>
        <w:tc>
          <w:tcPr>
            <w:tcW w:w="4980" w:type="dxa"/>
            <w:tcBorders>
              <w:top w:val="nil"/>
              <w:left w:val="nil"/>
              <w:bottom w:val="single" w:sz="8" w:space="0" w:color="FFFFFF"/>
              <w:right w:val="nil"/>
            </w:tcBorders>
            <w:shd w:val="clear" w:color="auto" w:fill="FFF6D7"/>
            <w:tcMar>
              <w:top w:w="15" w:type="dxa"/>
              <w:left w:w="15" w:type="dxa"/>
              <w:bottom w:w="0" w:type="dxa"/>
              <w:right w:w="15" w:type="dxa"/>
            </w:tcMar>
            <w:vAlign w:val="center"/>
            <w:hideMark/>
          </w:tcPr>
          <w:p w:rsidR="00ED176A" w:rsidRPr="00E653FA" w:rsidRDefault="00B26207" w:rsidP="00E377A8">
            <w:pPr>
              <w:spacing w:after="0"/>
              <w:rPr>
                <w:i/>
              </w:rPr>
            </w:pPr>
            <w:r w:rsidRPr="00E653FA">
              <w:rPr>
                <w:i/>
              </w:rPr>
              <w:t>I would have to consider other information</w:t>
            </w:r>
            <w:r w:rsidR="0057604B" w:rsidRPr="00E653FA">
              <w:rPr>
                <w:i/>
              </w:rPr>
              <w:t xml:space="preserve"> /</w:t>
            </w:r>
            <w:r w:rsidRPr="00E653FA">
              <w:rPr>
                <w:i/>
              </w:rPr>
              <w:t xml:space="preserve"> I would have to know more about the system</w:t>
            </w:r>
          </w:p>
        </w:tc>
        <w:tc>
          <w:tcPr>
            <w:tcW w:w="1220" w:type="dxa"/>
            <w:tcBorders>
              <w:top w:val="nil"/>
              <w:left w:val="nil"/>
              <w:bottom w:val="single" w:sz="8" w:space="0" w:color="FFFFFF"/>
              <w:right w:val="nil"/>
            </w:tcBorders>
            <w:shd w:val="clear" w:color="auto" w:fill="FFF6D7"/>
            <w:tcMar>
              <w:top w:w="15" w:type="dxa"/>
              <w:left w:w="15" w:type="dxa"/>
              <w:bottom w:w="0" w:type="dxa"/>
              <w:right w:w="15" w:type="dxa"/>
            </w:tcMar>
            <w:vAlign w:val="center"/>
            <w:hideMark/>
          </w:tcPr>
          <w:p w:rsidR="00ED176A" w:rsidRPr="00E653FA" w:rsidRDefault="00B26207" w:rsidP="00E377A8">
            <w:pPr>
              <w:spacing w:after="0"/>
              <w:jc w:val="center"/>
              <w:rPr>
                <w:i/>
              </w:rPr>
            </w:pPr>
            <w:r w:rsidRPr="00E653FA">
              <w:rPr>
                <w:i/>
              </w:rPr>
              <w:t>5%</w:t>
            </w:r>
          </w:p>
        </w:tc>
        <w:tc>
          <w:tcPr>
            <w:tcW w:w="1440" w:type="dxa"/>
            <w:tcBorders>
              <w:top w:val="nil"/>
              <w:left w:val="nil"/>
              <w:bottom w:val="single" w:sz="8" w:space="0" w:color="FFFFFF"/>
              <w:right w:val="nil"/>
            </w:tcBorders>
            <w:shd w:val="clear" w:color="auto" w:fill="FFF6D7"/>
            <w:tcMar>
              <w:top w:w="15" w:type="dxa"/>
              <w:left w:w="15" w:type="dxa"/>
              <w:bottom w:w="0" w:type="dxa"/>
              <w:right w:w="15" w:type="dxa"/>
            </w:tcMar>
            <w:vAlign w:val="center"/>
            <w:hideMark/>
          </w:tcPr>
          <w:p w:rsidR="00ED176A" w:rsidRPr="00E653FA" w:rsidRDefault="00B26207" w:rsidP="00E377A8">
            <w:pPr>
              <w:spacing w:after="0"/>
              <w:jc w:val="center"/>
              <w:rPr>
                <w:i/>
              </w:rPr>
            </w:pPr>
            <w:r w:rsidRPr="00E653FA">
              <w:rPr>
                <w:i/>
              </w:rPr>
              <w:t>5%</w:t>
            </w:r>
          </w:p>
        </w:tc>
      </w:tr>
      <w:tr w:rsidR="00B26207" w:rsidRPr="00B26207" w:rsidTr="009A6D30">
        <w:trPr>
          <w:trHeight w:val="806"/>
        </w:trPr>
        <w:tc>
          <w:tcPr>
            <w:tcW w:w="4980" w:type="dxa"/>
            <w:tcBorders>
              <w:top w:val="single" w:sz="8" w:space="0" w:color="FFFFFF"/>
              <w:left w:val="nil"/>
              <w:bottom w:val="single" w:sz="8" w:space="0" w:color="FFFFFF"/>
              <w:right w:val="nil"/>
            </w:tcBorders>
            <w:shd w:val="clear" w:color="auto" w:fill="FFF6D7"/>
            <w:tcMar>
              <w:top w:w="15" w:type="dxa"/>
              <w:left w:w="15" w:type="dxa"/>
              <w:bottom w:w="0" w:type="dxa"/>
              <w:right w:w="15" w:type="dxa"/>
            </w:tcMar>
            <w:vAlign w:val="center"/>
            <w:hideMark/>
          </w:tcPr>
          <w:p w:rsidR="00ED176A" w:rsidRPr="00E653FA" w:rsidRDefault="00B26207" w:rsidP="00E377A8">
            <w:pPr>
              <w:spacing w:after="0"/>
              <w:rPr>
                <w:i/>
              </w:rPr>
            </w:pPr>
            <w:r w:rsidRPr="00E653FA">
              <w:rPr>
                <w:i/>
              </w:rPr>
              <w:t>I wouldn't use it/ rely on it/ would use with scepticism</w:t>
            </w:r>
          </w:p>
        </w:tc>
        <w:tc>
          <w:tcPr>
            <w:tcW w:w="1220" w:type="dxa"/>
            <w:tcBorders>
              <w:top w:val="single" w:sz="8" w:space="0" w:color="FFFFFF"/>
              <w:left w:val="nil"/>
              <w:bottom w:val="single" w:sz="8" w:space="0" w:color="FFFFFF"/>
              <w:right w:val="nil"/>
            </w:tcBorders>
            <w:shd w:val="clear" w:color="auto" w:fill="FFF6D7"/>
            <w:tcMar>
              <w:top w:w="15" w:type="dxa"/>
              <w:left w:w="15" w:type="dxa"/>
              <w:bottom w:w="0" w:type="dxa"/>
              <w:right w:w="15" w:type="dxa"/>
            </w:tcMar>
            <w:vAlign w:val="center"/>
            <w:hideMark/>
          </w:tcPr>
          <w:p w:rsidR="00ED176A" w:rsidRPr="00E653FA" w:rsidRDefault="00B26207" w:rsidP="00E377A8">
            <w:pPr>
              <w:spacing w:after="0"/>
              <w:jc w:val="center"/>
              <w:rPr>
                <w:i/>
              </w:rPr>
            </w:pPr>
            <w:r w:rsidRPr="00E653FA">
              <w:rPr>
                <w:i/>
              </w:rPr>
              <w:t>5%</w:t>
            </w:r>
          </w:p>
        </w:tc>
        <w:tc>
          <w:tcPr>
            <w:tcW w:w="1440" w:type="dxa"/>
            <w:tcBorders>
              <w:top w:val="single" w:sz="8" w:space="0" w:color="FFFFFF"/>
              <w:left w:val="nil"/>
              <w:bottom w:val="single" w:sz="8" w:space="0" w:color="FFFFFF"/>
              <w:right w:val="nil"/>
            </w:tcBorders>
            <w:shd w:val="clear" w:color="auto" w:fill="FFF6D7"/>
            <w:tcMar>
              <w:top w:w="15" w:type="dxa"/>
              <w:left w:w="15" w:type="dxa"/>
              <w:bottom w:w="0" w:type="dxa"/>
              <w:right w:w="15" w:type="dxa"/>
            </w:tcMar>
            <w:vAlign w:val="center"/>
            <w:hideMark/>
          </w:tcPr>
          <w:p w:rsidR="00ED176A" w:rsidRPr="00E653FA" w:rsidRDefault="00B26207" w:rsidP="00E377A8">
            <w:pPr>
              <w:spacing w:after="0"/>
              <w:jc w:val="center"/>
              <w:rPr>
                <w:i/>
              </w:rPr>
            </w:pPr>
            <w:r w:rsidRPr="00E653FA">
              <w:rPr>
                <w:i/>
              </w:rPr>
              <w:t>2%</w:t>
            </w:r>
          </w:p>
        </w:tc>
      </w:tr>
      <w:tr w:rsidR="00B26207" w:rsidRPr="00B26207" w:rsidTr="009A6D30">
        <w:trPr>
          <w:trHeight w:val="461"/>
        </w:trPr>
        <w:tc>
          <w:tcPr>
            <w:tcW w:w="4980" w:type="dxa"/>
            <w:tcBorders>
              <w:top w:val="single" w:sz="8" w:space="0" w:color="FFFFFF"/>
              <w:left w:val="nil"/>
              <w:bottom w:val="nil"/>
              <w:right w:val="nil"/>
            </w:tcBorders>
            <w:shd w:val="clear" w:color="auto" w:fill="FFF6D7"/>
            <w:tcMar>
              <w:top w:w="15" w:type="dxa"/>
              <w:left w:w="15" w:type="dxa"/>
              <w:bottom w:w="0" w:type="dxa"/>
              <w:right w:w="15" w:type="dxa"/>
            </w:tcMar>
            <w:vAlign w:val="center"/>
            <w:hideMark/>
          </w:tcPr>
          <w:p w:rsidR="00ED176A" w:rsidRPr="00B26207" w:rsidRDefault="00B26207" w:rsidP="00E377A8">
            <w:pPr>
              <w:spacing w:after="0"/>
            </w:pPr>
            <w:r w:rsidRPr="00B26207">
              <w:t>Don't Know</w:t>
            </w:r>
          </w:p>
        </w:tc>
        <w:tc>
          <w:tcPr>
            <w:tcW w:w="1220" w:type="dxa"/>
            <w:tcBorders>
              <w:top w:val="single" w:sz="8" w:space="0" w:color="FFFFFF"/>
              <w:left w:val="nil"/>
              <w:bottom w:val="nil"/>
              <w:right w:val="nil"/>
            </w:tcBorders>
            <w:shd w:val="clear" w:color="auto" w:fill="FFF6D7"/>
            <w:tcMar>
              <w:top w:w="15" w:type="dxa"/>
              <w:left w:w="15" w:type="dxa"/>
              <w:bottom w:w="0" w:type="dxa"/>
              <w:right w:w="15" w:type="dxa"/>
            </w:tcMar>
            <w:vAlign w:val="center"/>
            <w:hideMark/>
          </w:tcPr>
          <w:p w:rsidR="00ED176A" w:rsidRPr="00B26207" w:rsidRDefault="00B26207" w:rsidP="00E377A8">
            <w:pPr>
              <w:spacing w:after="0"/>
              <w:jc w:val="center"/>
            </w:pPr>
            <w:r w:rsidRPr="00B26207">
              <w:t>22%</w:t>
            </w:r>
          </w:p>
        </w:tc>
        <w:tc>
          <w:tcPr>
            <w:tcW w:w="1440" w:type="dxa"/>
            <w:tcBorders>
              <w:top w:val="single" w:sz="8" w:space="0" w:color="FFFFFF"/>
              <w:left w:val="nil"/>
              <w:bottom w:val="nil"/>
              <w:right w:val="nil"/>
            </w:tcBorders>
            <w:shd w:val="clear" w:color="auto" w:fill="FFF6D7"/>
            <w:tcMar>
              <w:top w:w="15" w:type="dxa"/>
              <w:left w:w="15" w:type="dxa"/>
              <w:bottom w:w="0" w:type="dxa"/>
              <w:right w:w="15" w:type="dxa"/>
            </w:tcMar>
            <w:vAlign w:val="center"/>
            <w:hideMark/>
          </w:tcPr>
          <w:p w:rsidR="00ED176A" w:rsidRPr="00B26207" w:rsidRDefault="00B26207" w:rsidP="00E377A8">
            <w:pPr>
              <w:spacing w:after="0"/>
              <w:jc w:val="center"/>
            </w:pPr>
            <w:r w:rsidRPr="00B26207">
              <w:t>11%</w:t>
            </w:r>
          </w:p>
        </w:tc>
      </w:tr>
      <w:tr w:rsidR="00B26207" w:rsidRPr="00B26207" w:rsidTr="00B26207">
        <w:trPr>
          <w:trHeight w:val="362"/>
        </w:trPr>
        <w:tc>
          <w:tcPr>
            <w:tcW w:w="498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B26207">
            <w:r w:rsidRPr="00B26207">
              <w:t>Other</w:t>
            </w:r>
          </w:p>
        </w:tc>
        <w:tc>
          <w:tcPr>
            <w:tcW w:w="122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57604B">
            <w:pPr>
              <w:jc w:val="center"/>
            </w:pPr>
            <w:r w:rsidRPr="00B26207">
              <w:t>7%</w:t>
            </w:r>
          </w:p>
        </w:tc>
        <w:tc>
          <w:tcPr>
            <w:tcW w:w="1440" w:type="dxa"/>
            <w:tcBorders>
              <w:top w:val="nil"/>
              <w:left w:val="nil"/>
              <w:bottom w:val="nil"/>
              <w:right w:val="nil"/>
            </w:tcBorders>
            <w:shd w:val="clear" w:color="auto" w:fill="auto"/>
            <w:tcMar>
              <w:top w:w="15" w:type="dxa"/>
              <w:left w:w="15" w:type="dxa"/>
              <w:bottom w:w="0" w:type="dxa"/>
              <w:right w:w="15" w:type="dxa"/>
            </w:tcMar>
            <w:vAlign w:val="center"/>
            <w:hideMark/>
          </w:tcPr>
          <w:p w:rsidR="00ED176A" w:rsidRPr="00B26207" w:rsidRDefault="00B26207" w:rsidP="0057604B">
            <w:pPr>
              <w:jc w:val="center"/>
            </w:pPr>
            <w:r w:rsidRPr="00B26207">
              <w:t>14%</w:t>
            </w:r>
          </w:p>
        </w:tc>
      </w:tr>
    </w:tbl>
    <w:p w:rsidR="00B26207" w:rsidRDefault="00B26207" w:rsidP="00B26207"/>
    <w:p w:rsidR="00270839" w:rsidRDefault="007A0132" w:rsidP="00270839">
      <w:pPr>
        <w:spacing w:after="0" w:line="240" w:lineRule="auto"/>
        <w:rPr>
          <w:sz w:val="20"/>
          <w:szCs w:val="20"/>
        </w:rPr>
      </w:pPr>
      <w:r w:rsidRPr="007A0132">
        <w:rPr>
          <w:sz w:val="20"/>
          <w:szCs w:val="20"/>
        </w:rPr>
        <w:t>Base: All respondents (n=1000).</w:t>
      </w:r>
    </w:p>
    <w:p w:rsidR="00270839" w:rsidRDefault="00270839" w:rsidP="00270839">
      <w:pPr>
        <w:spacing w:after="0" w:line="240" w:lineRule="auto"/>
        <w:rPr>
          <w:sz w:val="20"/>
          <w:szCs w:val="20"/>
        </w:rPr>
      </w:pPr>
    </w:p>
    <w:p w:rsidR="000A0F08" w:rsidRPr="00270839" w:rsidRDefault="000A0F08" w:rsidP="00270839">
      <w:pPr>
        <w:pStyle w:val="Heading2"/>
        <w:rPr>
          <w:sz w:val="20"/>
          <w:szCs w:val="20"/>
        </w:rPr>
      </w:pPr>
      <w:bookmarkStart w:id="36" w:name="_Toc435088780"/>
      <w:r>
        <w:t>Us</w:t>
      </w:r>
      <w:r w:rsidR="0057604B">
        <w:t>e</w:t>
      </w:r>
      <w:r>
        <w:t xml:space="preserve"> of the Health Star Rating</w:t>
      </w:r>
      <w:bookmarkEnd w:id="36"/>
    </w:p>
    <w:p w:rsidR="00AD7714" w:rsidRDefault="00AD7714" w:rsidP="00E445C3">
      <w:r w:rsidRPr="000A0F08">
        <w:t xml:space="preserve">Those who have seen the </w:t>
      </w:r>
      <w:proofErr w:type="gramStart"/>
      <w:r w:rsidRPr="000A0F08">
        <w:t>campaign are</w:t>
      </w:r>
      <w:proofErr w:type="gramEnd"/>
      <w:r w:rsidRPr="000A0F08">
        <w:t xml:space="preserve"> </w:t>
      </w:r>
      <w:r>
        <w:t xml:space="preserve">also </w:t>
      </w:r>
      <w:r w:rsidRPr="000A0F08">
        <w:t xml:space="preserve">significantly more likely to have </w:t>
      </w:r>
      <w:r>
        <w:t xml:space="preserve">bought a product with </w:t>
      </w:r>
      <w:r w:rsidRPr="000A0F08">
        <w:t>the HSR</w:t>
      </w:r>
      <w:r>
        <w:t xml:space="preserve"> displayed (73% vs 43%</w:t>
      </w:r>
      <w:r w:rsidR="00C66D3C">
        <w:t xml:space="preserve"> amongst </w:t>
      </w:r>
      <w:r w:rsidR="005A0A18">
        <w:t xml:space="preserve">the </w:t>
      </w:r>
      <w:r w:rsidR="00C66D3C">
        <w:t>total sample</w:t>
      </w:r>
      <w:r>
        <w:t>)</w:t>
      </w:r>
      <w:r w:rsidRPr="000A0F08">
        <w:t>, talked about the HSR</w:t>
      </w:r>
      <w:r>
        <w:t xml:space="preserve"> (39% vs 15%</w:t>
      </w:r>
      <w:r w:rsidR="00C66D3C">
        <w:t xml:space="preserve"> amongst</w:t>
      </w:r>
      <w:r w:rsidR="005A0A18">
        <w:t xml:space="preserve"> the</w:t>
      </w:r>
      <w:r w:rsidR="00C66D3C">
        <w:t xml:space="preserve"> total sample</w:t>
      </w:r>
      <w:r>
        <w:t>)</w:t>
      </w:r>
      <w:r w:rsidRPr="000A0F08">
        <w:t xml:space="preserve"> and sought out information about the HSR</w:t>
      </w:r>
      <w:r>
        <w:t xml:space="preserve"> (30% vs 11%</w:t>
      </w:r>
      <w:r w:rsidR="00C66D3C">
        <w:t xml:space="preserve"> amongst</w:t>
      </w:r>
      <w:r w:rsidR="005A0A18">
        <w:t xml:space="preserve"> the</w:t>
      </w:r>
      <w:r w:rsidR="00C66D3C">
        <w:t xml:space="preserve"> total sample</w:t>
      </w:r>
      <w:r>
        <w:t>)</w:t>
      </w:r>
      <w:r w:rsidRPr="000A0F08">
        <w:t>.</w:t>
      </w:r>
    </w:p>
    <w:p w:rsidR="00AD7714" w:rsidRDefault="0057604B" w:rsidP="00E445C3">
      <w:r>
        <w:t>Thirty-two percent of respondents claimed to have compared the HSR to other nutritional information on pack</w:t>
      </w:r>
      <w:r w:rsidR="00AD7714">
        <w:t>; among those who have seen the campaign, this figure is almost doubled (62</w:t>
      </w:r>
      <w:r w:rsidR="00576335">
        <w:t xml:space="preserve">%). </w:t>
      </w:r>
      <w:r w:rsidR="00A279DB">
        <w:t>T</w:t>
      </w:r>
      <w:r w:rsidR="00AD7714">
        <w:t>his finding indicate</w:t>
      </w:r>
      <w:r w:rsidR="00A279DB">
        <w:t>s</w:t>
      </w:r>
      <w:r w:rsidR="00AD7714">
        <w:t xml:space="preserve"> </w:t>
      </w:r>
      <w:r w:rsidR="00576335">
        <w:t>the</w:t>
      </w:r>
      <w:r w:rsidR="00AD7714">
        <w:t xml:space="preserve"> HSR </w:t>
      </w:r>
      <w:r w:rsidR="008D6494">
        <w:t xml:space="preserve">is </w:t>
      </w:r>
      <w:r w:rsidR="00AD7714">
        <w:t>prompt</w:t>
      </w:r>
      <w:r w:rsidR="008D6494">
        <w:t>ing</w:t>
      </w:r>
      <w:r w:rsidR="00AD7714">
        <w:t xml:space="preserve"> consideration </w:t>
      </w:r>
      <w:r w:rsidR="00576335">
        <w:t xml:space="preserve">when it comes to the </w:t>
      </w:r>
      <w:r w:rsidR="00AD7714">
        <w:t>nutritional profile of a product</w:t>
      </w:r>
      <w:r w:rsidR="008D6494">
        <w:t>, and this behaviour is more likely amongst those who have seen the campaign.</w:t>
      </w:r>
    </w:p>
    <w:p w:rsidR="00B26207" w:rsidRDefault="00AD7714" w:rsidP="00E445C3">
      <w:r>
        <w:lastRenderedPageBreak/>
        <w:t xml:space="preserve">These findings are detailed in Figure 14 below. </w:t>
      </w:r>
    </w:p>
    <w:p w:rsidR="0028147E" w:rsidRPr="00BE6346" w:rsidRDefault="0028147E" w:rsidP="0028147E">
      <w:pPr>
        <w:rPr>
          <w:sz w:val="20"/>
          <w:szCs w:val="20"/>
        </w:rPr>
      </w:pPr>
      <w:r w:rsidRPr="00BE6346">
        <w:rPr>
          <w:iCs/>
          <w:sz w:val="20"/>
          <w:szCs w:val="20"/>
        </w:rPr>
        <w:t xml:space="preserve">Figure </w:t>
      </w:r>
      <w:r w:rsidR="00185B9F">
        <w:rPr>
          <w:iCs/>
          <w:sz w:val="20"/>
          <w:szCs w:val="20"/>
        </w:rPr>
        <w:t>14</w:t>
      </w:r>
      <w:r w:rsidRPr="00BE6346">
        <w:rPr>
          <w:iCs/>
          <w:sz w:val="20"/>
          <w:szCs w:val="20"/>
        </w:rPr>
        <w:t xml:space="preserve"> - </w:t>
      </w:r>
      <w:r w:rsidR="00185B9F" w:rsidRPr="00185B9F">
        <w:rPr>
          <w:iCs/>
          <w:sz w:val="20"/>
          <w:szCs w:val="20"/>
        </w:rPr>
        <w:t>Thinking about the Health Star Rating, have you</w:t>
      </w:r>
      <w:r w:rsidR="004D3C68">
        <w:rPr>
          <w:iCs/>
          <w:sz w:val="20"/>
          <w:szCs w:val="20"/>
        </w:rPr>
        <w:t xml:space="preserve">… </w:t>
      </w:r>
    </w:p>
    <w:p w:rsidR="00B26207" w:rsidRDefault="00B26207" w:rsidP="00B26207">
      <w:r w:rsidRPr="00B26207">
        <w:rPr>
          <w:noProof/>
          <w:lang w:eastAsia="en-AU"/>
        </w:rPr>
        <w:drawing>
          <wp:inline distT="0" distB="0" distL="0" distR="0" wp14:anchorId="3A346B13" wp14:editId="07FC811C">
            <wp:extent cx="5273749" cy="3774558"/>
            <wp:effectExtent l="0" t="0" r="22225" b="16510"/>
            <wp:docPr id="38" name="Chart 38" descr="Figure 14 is a vertical bar chart which shows six statements describing what people have done in relation to the Health Star Rating. For each statement it shows the difference between the total response and those who have seen the campaign. The results are discussed in the paragraph preceding the chart. &#10;Detailed findings, comparing total sample and campaign recognisers respectively, are as follows: Bought a product with Health Star Rating displayed, 43% vs 73%; Compared the Health Star Rating to other nutritional information on pack, 32% vs 62%, Talked to others about the Health Star Rating, 15% vs 39%, Avoided a product because of its Health Star Rating, 14% vs 31%, Looked up further information about the Health Star Rating, 11% vs 30%; and Visited the Health Star Rating website, 5% vs 16%.&#10;" title="Figure 14 - Thinking about the health Star rating, have you done any of the follow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A0132" w:rsidRPr="007A0132" w:rsidRDefault="007A0132" w:rsidP="0028147E">
      <w:pPr>
        <w:rPr>
          <w:iCs/>
          <w:sz w:val="20"/>
          <w:szCs w:val="20"/>
        </w:rPr>
      </w:pPr>
      <w:r w:rsidRPr="007A0132">
        <w:rPr>
          <w:iCs/>
          <w:sz w:val="20"/>
          <w:szCs w:val="20"/>
        </w:rPr>
        <w:t xml:space="preserve">Base: </w:t>
      </w:r>
      <w:r w:rsidR="00AD7714">
        <w:rPr>
          <w:iCs/>
          <w:sz w:val="20"/>
          <w:szCs w:val="20"/>
        </w:rPr>
        <w:t xml:space="preserve">All respondents (n=1000), and </w:t>
      </w:r>
      <w:r w:rsidRPr="007A0132">
        <w:rPr>
          <w:iCs/>
          <w:sz w:val="20"/>
          <w:szCs w:val="20"/>
        </w:rPr>
        <w:t>Seen campaign (n=193).</w:t>
      </w:r>
    </w:p>
    <w:p w:rsidR="0028147E" w:rsidRPr="000A0F08" w:rsidRDefault="00510D6F" w:rsidP="0057604B">
      <w:pPr>
        <w:spacing w:before="240"/>
      </w:pPr>
      <w:r>
        <w:rPr>
          <w:iCs/>
        </w:rPr>
        <w:t>Noting that it</w:t>
      </w:r>
      <w:r w:rsidR="0057604B">
        <w:rPr>
          <w:iCs/>
        </w:rPr>
        <w:t xml:space="preserve"> is not possible to know from this research what level of prior use, attitudes or exposure to commercial advertising may have primed a response to the campaign</w:t>
      </w:r>
      <w:r w:rsidR="00FC2C05">
        <w:rPr>
          <w:iCs/>
        </w:rPr>
        <w:t>,</w:t>
      </w:r>
      <w:r w:rsidR="0057604B">
        <w:rPr>
          <w:iCs/>
        </w:rPr>
        <w:t xml:space="preserve"> </w:t>
      </w:r>
      <w:r w:rsidR="0028147E" w:rsidRPr="000A0F08">
        <w:rPr>
          <w:iCs/>
        </w:rPr>
        <w:t xml:space="preserve">the results among those who have seen the campaign are very </w:t>
      </w:r>
      <w:r w:rsidR="0028147E">
        <w:rPr>
          <w:iCs/>
        </w:rPr>
        <w:t>positive.</w:t>
      </w:r>
    </w:p>
    <w:p w:rsidR="00B26207" w:rsidRDefault="0028147E" w:rsidP="0057604B">
      <w:pPr>
        <w:spacing w:before="240"/>
      </w:pPr>
      <w:r>
        <w:t>Among those who have bought a product with the HSR displayed</w:t>
      </w:r>
      <w:r w:rsidR="002D1C4B">
        <w:t xml:space="preserve"> (42% n=419)</w:t>
      </w:r>
      <w:r>
        <w:t xml:space="preserve">, one third </w:t>
      </w:r>
      <w:r w:rsidR="008D6494">
        <w:t xml:space="preserve">of these respondents </w:t>
      </w:r>
      <w:r>
        <w:t>(33%</w:t>
      </w:r>
      <w:r w:rsidR="00B5788F">
        <w:t>, n=134</w:t>
      </w:r>
      <w:r w:rsidR="002D1C4B">
        <w:t xml:space="preserve"> or 13% of</w:t>
      </w:r>
      <w:r w:rsidR="008D6494">
        <w:t xml:space="preserve"> the</w:t>
      </w:r>
      <w:r w:rsidR="002D1C4B">
        <w:t xml:space="preserve"> </w:t>
      </w:r>
      <w:r w:rsidR="008D6494">
        <w:t>total sample</w:t>
      </w:r>
      <w:r w:rsidR="00B5788F">
        <w:t>)</w:t>
      </w:r>
      <w:r>
        <w:t xml:space="preserve"> stated they were influenced to buy the product due to </w:t>
      </w:r>
      <w:r w:rsidR="00510D6F">
        <w:t>the product</w:t>
      </w:r>
      <w:r>
        <w:t xml:space="preserve"> having a higher HSR than their usual product</w:t>
      </w:r>
      <w:r w:rsidR="008D6494">
        <w:t xml:space="preserve"> (noting that opportunities for comparison are limited due to relatively</w:t>
      </w:r>
      <w:r w:rsidR="00214FB7">
        <w:t xml:space="preserve"> low penetration of the HSR at this </w:t>
      </w:r>
      <w:r w:rsidR="008D6494">
        <w:t xml:space="preserve">early </w:t>
      </w:r>
      <w:r w:rsidR="00214FB7">
        <w:t>stage</w:t>
      </w:r>
      <w:r w:rsidR="008D6494">
        <w:t xml:space="preserve"> of the roll-out</w:t>
      </w:r>
      <w:proofErr w:type="gramStart"/>
      <w:r w:rsidR="008D6494">
        <w:t>)</w:t>
      </w:r>
      <w:r w:rsidR="00214FB7">
        <w:t xml:space="preserve"> </w:t>
      </w:r>
      <w:r w:rsidR="008D6494">
        <w:t>)</w:t>
      </w:r>
      <w:proofErr w:type="gramEnd"/>
      <w:r w:rsidR="00214FB7">
        <w:t xml:space="preserve">. </w:t>
      </w:r>
      <w:r>
        <w:t>Among those who</w:t>
      </w:r>
      <w:r w:rsidR="002D1C4B">
        <w:t xml:space="preserve"> had seen</w:t>
      </w:r>
      <w:r>
        <w:t xml:space="preserve"> the campaign</w:t>
      </w:r>
      <w:r w:rsidR="00E86674">
        <w:t>,</w:t>
      </w:r>
      <w:r>
        <w:t xml:space="preserve"> this result is even higher</w:t>
      </w:r>
      <w:r w:rsidR="00AD7714">
        <w:t xml:space="preserve">, </w:t>
      </w:r>
      <w:r>
        <w:t>with 47%</w:t>
      </w:r>
      <w:r w:rsidR="008D6494">
        <w:t xml:space="preserve"> of these respondents</w:t>
      </w:r>
      <w:r>
        <w:t xml:space="preserve"> </w:t>
      </w:r>
      <w:r w:rsidR="00B5788F">
        <w:t>(n=</w:t>
      </w:r>
      <w:r w:rsidR="008F63BD">
        <w:t>65</w:t>
      </w:r>
      <w:r w:rsidR="002D1C4B">
        <w:t xml:space="preserve">, or </w:t>
      </w:r>
      <w:r w:rsidR="008F63BD">
        <w:t>7</w:t>
      </w:r>
      <w:r w:rsidR="002D1C4B">
        <w:t xml:space="preserve">% of </w:t>
      </w:r>
      <w:r w:rsidR="008D6494">
        <w:t>the total sample</w:t>
      </w:r>
      <w:r w:rsidR="00B5788F">
        <w:t xml:space="preserve">) </w:t>
      </w:r>
      <w:r>
        <w:t>stating they bought a different product because i</w:t>
      </w:r>
      <w:r w:rsidR="005A6ADC">
        <w:t>t had a higher HSR. This</w:t>
      </w:r>
      <w:r>
        <w:t xml:space="preserve"> shows</w:t>
      </w:r>
      <w:r w:rsidR="00510D6F">
        <w:t xml:space="preserve"> that</w:t>
      </w:r>
      <w:r>
        <w:t xml:space="preserve"> </w:t>
      </w:r>
      <w:r w:rsidR="00B26207" w:rsidRPr="00B26207">
        <w:t>the HSR is driving positive behaviour change</w:t>
      </w:r>
      <w:r>
        <w:t xml:space="preserve"> when it comes to making healthy food choices</w:t>
      </w:r>
      <w:r w:rsidR="00510D6F">
        <w:t>, and exposure to the campaign appears to be driving this behaviour change further</w:t>
      </w:r>
      <w:r>
        <w:t>.</w:t>
      </w:r>
    </w:p>
    <w:p w:rsidR="00466125" w:rsidRDefault="00010033" w:rsidP="0057604B">
      <w:pPr>
        <w:spacing w:before="240"/>
      </w:pPr>
      <w:r>
        <w:t>These findings are explored in Figure 15.</w:t>
      </w:r>
    </w:p>
    <w:p w:rsidR="00466125" w:rsidRDefault="00466125">
      <w:pPr>
        <w:spacing w:after="0" w:line="240" w:lineRule="auto"/>
      </w:pPr>
      <w:r>
        <w:br w:type="page"/>
      </w:r>
    </w:p>
    <w:p w:rsidR="0028147E" w:rsidRDefault="0028147E" w:rsidP="005A6ADC">
      <w:pPr>
        <w:pStyle w:val="Caption"/>
        <w:rPr>
          <w:i/>
        </w:rPr>
      </w:pPr>
      <w:r w:rsidRPr="00BE6346">
        <w:lastRenderedPageBreak/>
        <w:t xml:space="preserve">Figure </w:t>
      </w:r>
      <w:r w:rsidR="00185B9F">
        <w:t>15</w:t>
      </w:r>
      <w:r w:rsidRPr="00BE6346">
        <w:t xml:space="preserve"> </w:t>
      </w:r>
      <w:r w:rsidR="00510D6F">
        <w:t>–</w:t>
      </w:r>
      <w:r w:rsidRPr="00BE6346">
        <w:t xml:space="preserve"> </w:t>
      </w:r>
      <w:r w:rsidR="00510D6F">
        <w:t xml:space="preserve">Influence of Health Star Rating on purchase decision: </w:t>
      </w:r>
      <w:r w:rsidR="00510D6F" w:rsidRPr="005A6ADC">
        <w:rPr>
          <w:i/>
        </w:rPr>
        <w:t>“D</w:t>
      </w:r>
      <w:r w:rsidR="00185B9F" w:rsidRPr="005A6ADC">
        <w:rPr>
          <w:i/>
        </w:rPr>
        <w:t xml:space="preserve">id the Health Star Rating influence your choice to purchase this </w:t>
      </w:r>
      <w:r w:rsidR="00AF329F">
        <w:rPr>
          <w:i/>
        </w:rPr>
        <w:t xml:space="preserve">[new] </w:t>
      </w:r>
      <w:r w:rsidR="00185B9F" w:rsidRPr="005A6ADC">
        <w:rPr>
          <w:i/>
        </w:rPr>
        <w:t>product?</w:t>
      </w:r>
      <w:r w:rsidR="00510D6F" w:rsidRPr="005A6ADC">
        <w:rPr>
          <w:i/>
        </w:rPr>
        <w:t>”</w:t>
      </w:r>
    </w:p>
    <w:p w:rsidR="00B26207" w:rsidRDefault="00B26207" w:rsidP="00B26207">
      <w:r w:rsidRPr="00E2693C">
        <w:rPr>
          <w:noProof/>
          <w:lang w:eastAsia="en-AU"/>
        </w:rPr>
        <w:drawing>
          <wp:inline distT="0" distB="0" distL="0" distR="0" wp14:anchorId="7CF1D467" wp14:editId="646E6D53">
            <wp:extent cx="5274310" cy="2819727"/>
            <wp:effectExtent l="0" t="0" r="21590" b="19050"/>
            <wp:docPr id="39" name="Chart 39" descr="Figure 15 is a stacked horizontal bar chart which shows whether the Health Star Rating influenced respondent’s choice to purchase a product. The results are discussed in the paragraph preceding the chart. Detailed findings are as follows, with proportions given for total sample and campaign recognisers respectively:  Yes - it had a higher HSR than my usual product, 33% vs 47%; Yes - it had a lower HSR than my usual product, 5% vs 7%; No - I just noticed that it had a HSR displayed, 49% vs 38%; Other response, 2% vs 3%; Not Sure, 10% vs 5%." title="Figure 15 – Influence of Health Star Rating on purchase decision: “Did the Health Star Rating influence your choice to purchase this [new] produ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8147E" w:rsidRPr="007A0132" w:rsidRDefault="007A0132" w:rsidP="00E445C3">
      <w:pPr>
        <w:rPr>
          <w:sz w:val="20"/>
          <w:szCs w:val="20"/>
        </w:rPr>
      </w:pPr>
      <w:r w:rsidRPr="007A0132">
        <w:rPr>
          <w:sz w:val="20"/>
          <w:szCs w:val="20"/>
        </w:rPr>
        <w:t xml:space="preserve">Base: </w:t>
      </w:r>
      <w:r w:rsidR="002D1C4B">
        <w:rPr>
          <w:sz w:val="20"/>
          <w:szCs w:val="20"/>
        </w:rPr>
        <w:t>Those who bought a product with HSR (</w:t>
      </w:r>
      <w:r w:rsidRPr="007A0132">
        <w:rPr>
          <w:sz w:val="20"/>
          <w:szCs w:val="20"/>
        </w:rPr>
        <w:t>n=419</w:t>
      </w:r>
      <w:r w:rsidR="00F75D7C">
        <w:rPr>
          <w:sz w:val="20"/>
          <w:szCs w:val="20"/>
        </w:rPr>
        <w:t>)</w:t>
      </w:r>
    </w:p>
    <w:p w:rsidR="00281DE8" w:rsidRDefault="00F40CDF" w:rsidP="00466125">
      <w:pPr>
        <w:spacing w:before="360"/>
      </w:pPr>
      <w:r>
        <w:t>Not only is this behaviour change occurring among a third (33%</w:t>
      </w:r>
      <w:r w:rsidR="002D1C4B">
        <w:t>, n=134</w:t>
      </w:r>
      <w:r>
        <w:t xml:space="preserve">) of those who have bought a product with the HSR displayed, the HSR </w:t>
      </w:r>
      <w:r w:rsidR="00A7449F">
        <w:t>appears to be</w:t>
      </w:r>
      <w:r w:rsidR="00E86674">
        <w:t xml:space="preserve"> having a lasting impact,</w:t>
      </w:r>
      <w:r>
        <w:t xml:space="preserve"> with most of </w:t>
      </w:r>
      <w:r w:rsidR="00B26207" w:rsidRPr="00B26207">
        <w:t>those who have bought a product</w:t>
      </w:r>
      <w:r w:rsidR="00217C0F">
        <w:t>,</w:t>
      </w:r>
      <w:r w:rsidR="00B26207" w:rsidRPr="00B26207">
        <w:t xml:space="preserve"> due to it having a higher HSR </w:t>
      </w:r>
      <w:r>
        <w:t>continuing</w:t>
      </w:r>
      <w:r w:rsidR="00B26207" w:rsidRPr="00B26207">
        <w:t xml:space="preserve"> to buy this product</w:t>
      </w:r>
      <w:r w:rsidR="003C3206">
        <w:t xml:space="preserve"> (</w:t>
      </w:r>
      <w:r>
        <w:t>73%</w:t>
      </w:r>
      <w:r w:rsidR="002D1C4B">
        <w:t>, n=98</w:t>
      </w:r>
      <w:r w:rsidR="00E47410">
        <w:t>). This equates to one in ten people (10%) continuing to buy the healthier product at the total respondent level</w:t>
      </w:r>
      <w:r w:rsidR="003C3206">
        <w:t xml:space="preserve">. </w:t>
      </w:r>
      <w:r>
        <w:t>This is evidence to show the HSR is not only helping to bring ab</w:t>
      </w:r>
      <w:r w:rsidR="00E86674">
        <w:t>out positive behaviour change</w:t>
      </w:r>
      <w:r w:rsidR="002D1C4B">
        <w:t>,</w:t>
      </w:r>
      <w:r w:rsidR="00E86674">
        <w:t xml:space="preserve"> but i</w:t>
      </w:r>
      <w:r>
        <w:t>s</w:t>
      </w:r>
      <w:r w:rsidR="00E86674">
        <w:t xml:space="preserve"> also</w:t>
      </w:r>
      <w:r>
        <w:t xml:space="preserve"> </w:t>
      </w:r>
      <w:r w:rsidR="00B26207" w:rsidRPr="00B26207">
        <w:t>d</w:t>
      </w:r>
      <w:r>
        <w:t xml:space="preserve">riving </w:t>
      </w:r>
      <w:r w:rsidRPr="00E653FA">
        <w:rPr>
          <w:i/>
        </w:rPr>
        <w:t>lasting</w:t>
      </w:r>
      <w:r>
        <w:t xml:space="preserve"> behaviour change</w:t>
      </w:r>
      <w:r w:rsidR="00364A5D">
        <w:t>.</w:t>
      </w:r>
    </w:p>
    <w:p w:rsidR="00010033" w:rsidRDefault="002D7D89" w:rsidP="005A0A18">
      <w:pPr>
        <w:spacing w:before="240"/>
      </w:pPr>
      <w:r>
        <w:t>R</w:t>
      </w:r>
      <w:r w:rsidR="00AA66F7">
        <w:t>e</w:t>
      </w:r>
      <w:r>
        <w:t>ported l</w:t>
      </w:r>
      <w:r w:rsidR="00BB1305">
        <w:t xml:space="preserve">ikelihood to use the HSR has significantly increased since the </w:t>
      </w:r>
      <w:r w:rsidR="00A7449F">
        <w:t xml:space="preserve">previous survey </w:t>
      </w:r>
      <w:r w:rsidR="00BB1305">
        <w:t xml:space="preserve">in April 2015, </w:t>
      </w:r>
      <w:r w:rsidR="00A7449F">
        <w:t xml:space="preserve">up </w:t>
      </w:r>
      <w:r w:rsidR="00BB1305">
        <w:t>from 40% to 47%. Adding to this, t</w:t>
      </w:r>
      <w:r w:rsidR="00B26207" w:rsidRPr="00B26207">
        <w:t>hose who have seen the campaign are even more likely to use the HSR</w:t>
      </w:r>
      <w:r w:rsidR="003C3206">
        <w:t>,</w:t>
      </w:r>
      <w:r w:rsidR="00BB1305">
        <w:t xml:space="preserve"> </w:t>
      </w:r>
      <w:r w:rsidR="00AA66F7">
        <w:t xml:space="preserve">10% higher </w:t>
      </w:r>
      <w:r w:rsidR="00BB1305">
        <w:t>at 57% among this group</w:t>
      </w:r>
      <w:r w:rsidR="00B26207">
        <w:t xml:space="preserve">. </w:t>
      </w:r>
      <w:r w:rsidR="00BB1305">
        <w:t xml:space="preserve">Among </w:t>
      </w:r>
      <w:r w:rsidR="00A7449F">
        <w:t xml:space="preserve">both </w:t>
      </w:r>
      <w:r w:rsidR="00BB1305">
        <w:t>those who have seen the campaign and the total sample, there are v</w:t>
      </w:r>
      <w:r w:rsidR="00B26207" w:rsidRPr="00B26207">
        <w:t>ery low levels of negativity toward the HSR</w:t>
      </w:r>
      <w:r w:rsidR="00BB1305">
        <w:t>;</w:t>
      </w:r>
      <w:r w:rsidR="00B26207" w:rsidRPr="00B26207">
        <w:t xml:space="preserve"> people are generally either positive or ambivalent toward the new system</w:t>
      </w:r>
      <w:r w:rsidR="00BB1305">
        <w:t>.</w:t>
      </w:r>
    </w:p>
    <w:p w:rsidR="00466125" w:rsidRDefault="00AA66F7" w:rsidP="00010033">
      <w:pPr>
        <w:spacing w:before="240"/>
      </w:pPr>
      <w:r>
        <w:t xml:space="preserve">These results are detailed in Figure 16. </w:t>
      </w:r>
    </w:p>
    <w:p w:rsidR="00466125" w:rsidRDefault="00466125">
      <w:pPr>
        <w:spacing w:after="0" w:line="240" w:lineRule="auto"/>
      </w:pPr>
      <w:r>
        <w:br w:type="page"/>
      </w:r>
    </w:p>
    <w:p w:rsidR="00B26207" w:rsidRPr="00E47410" w:rsidRDefault="00E47410" w:rsidP="00E47410">
      <w:pPr>
        <w:pStyle w:val="Caption"/>
      </w:pPr>
      <w:r w:rsidRPr="00BE6346">
        <w:lastRenderedPageBreak/>
        <w:t xml:space="preserve">Figure </w:t>
      </w:r>
      <w:r>
        <w:t>16</w:t>
      </w:r>
      <w:r w:rsidRPr="00BE6346">
        <w:t xml:space="preserve"> </w:t>
      </w:r>
      <w:r>
        <w:t>–</w:t>
      </w:r>
      <w:r w:rsidRPr="00BE6346">
        <w:t xml:space="preserve"> </w:t>
      </w:r>
      <w:r>
        <w:t xml:space="preserve">Likelihood to use the HSR on a regular basis: </w:t>
      </w:r>
      <w:r w:rsidRPr="005A6ADC">
        <w:rPr>
          <w:i/>
        </w:rPr>
        <w:t>“</w:t>
      </w:r>
      <w:r w:rsidRPr="00E47410">
        <w:rPr>
          <w:i/>
        </w:rPr>
        <w:t>If the Health Star Rating was on most packaged foods in your supermarket, how likely would you be to use it on a regular basis</w:t>
      </w:r>
      <w:r w:rsidRPr="005A6ADC">
        <w:rPr>
          <w:i/>
        </w:rPr>
        <w:t>?”</w:t>
      </w:r>
    </w:p>
    <w:p w:rsidR="00CD68FD" w:rsidRDefault="00CD68FD" w:rsidP="00DA6F0E">
      <w:pPr>
        <w:rPr>
          <w:noProof/>
          <w:color w:val="FFFFFF" w:themeColor="background1"/>
          <w:shd w:val="clear" w:color="auto" w:fill="FFFFFF" w:themeFill="background1"/>
          <w:lang w:eastAsia="en-AU"/>
        </w:rPr>
      </w:pPr>
      <w:r>
        <w:rPr>
          <w:noProof/>
          <w:color w:val="FFFFFF" w:themeColor="background1"/>
          <w:shd w:val="clear" w:color="auto" w:fill="FFFFFF" w:themeFill="background1"/>
          <w:lang w:eastAsia="en-AU"/>
        </w:rPr>
        <w:drawing>
          <wp:inline distT="0" distB="0" distL="0" distR="0">
            <wp:extent cx="5067935" cy="1805338"/>
            <wp:effectExtent l="0" t="0" r="0" b="4445"/>
            <wp:docPr id="3" name="Picture 3" descr="Figure 16 is a stacked horizontal bar chart which shows the likelihood to use the HSR on a regular basis on a scale of 0 (Never use) to 10 (Extremely likely to use). The results are discussed in the paragraph preceding the chart. &#10;Detailed findings, comparing total sample and campaign recognisers respectively, are as follows: Bottom three scale points (towards 'never use'), 7% vs 2%; middle range of five scale points, 46% vs 41%; and top three scale points (towards 'extremely Likely to use'), 47% vs 57%." title="Figure 16 – Likelihood to use the HSR on a regular b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al.health\dfsuserenv\Users\User_14\balazm\Desktop\graph.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7935" cy="1805338"/>
                    </a:xfrm>
                    <a:prstGeom prst="rect">
                      <a:avLst/>
                    </a:prstGeom>
                    <a:noFill/>
                    <a:ln>
                      <a:noFill/>
                    </a:ln>
                  </pic:spPr>
                </pic:pic>
              </a:graphicData>
            </a:graphic>
          </wp:inline>
        </w:drawing>
      </w:r>
    </w:p>
    <w:p w:rsidR="00DA6F0E" w:rsidRPr="007A0132" w:rsidRDefault="00DA6F0E" w:rsidP="00DA6F0E">
      <w:pPr>
        <w:rPr>
          <w:sz w:val="20"/>
          <w:szCs w:val="20"/>
        </w:rPr>
      </w:pPr>
      <w:r w:rsidRPr="00DA6F0E">
        <w:rPr>
          <w:sz w:val="20"/>
          <w:szCs w:val="20"/>
        </w:rPr>
        <w:t xml:space="preserve"> </w:t>
      </w:r>
      <w:r w:rsidRPr="007A0132">
        <w:rPr>
          <w:sz w:val="20"/>
          <w:szCs w:val="20"/>
        </w:rPr>
        <w:t xml:space="preserve">Base: </w:t>
      </w:r>
      <w:r>
        <w:rPr>
          <w:sz w:val="20"/>
          <w:szCs w:val="20"/>
        </w:rPr>
        <w:t xml:space="preserve">Total n=1000, Seen campaign </w:t>
      </w:r>
      <w:r w:rsidRPr="007A0132">
        <w:rPr>
          <w:sz w:val="20"/>
          <w:szCs w:val="20"/>
        </w:rPr>
        <w:t>n=419</w:t>
      </w:r>
    </w:p>
    <w:p w:rsidR="00BB1305" w:rsidRDefault="00BB1305" w:rsidP="00BB1305">
      <w:pPr>
        <w:pStyle w:val="Heading2"/>
      </w:pPr>
      <w:bookmarkStart w:id="37" w:name="_Toc435088781"/>
      <w:r>
        <w:t>Evaluation of the Health Star Rating</w:t>
      </w:r>
      <w:r w:rsidR="00143223">
        <w:t xml:space="preserve"> - sentiment</w:t>
      </w:r>
      <w:bookmarkEnd w:id="37"/>
    </w:p>
    <w:p w:rsidR="00DD4CC0" w:rsidRDefault="00B26207" w:rsidP="00E445C3">
      <w:r w:rsidRPr="00B26207">
        <w:t>The campaign has helped drive perceptions of the</w:t>
      </w:r>
      <w:r w:rsidR="00E3543A">
        <w:t xml:space="preserve"> HSR</w:t>
      </w:r>
      <w:r w:rsidRPr="00B26207">
        <w:t xml:space="preserve"> system as a straight</w:t>
      </w:r>
      <w:r w:rsidR="003D14A9">
        <w:t>-</w:t>
      </w:r>
      <w:r w:rsidRPr="00B26207">
        <w:t>forward source of information</w:t>
      </w:r>
      <w:r w:rsidR="00153B11">
        <w:t xml:space="preserve">, </w:t>
      </w:r>
      <w:r w:rsidR="00CA52F8">
        <w:t xml:space="preserve">with </w:t>
      </w:r>
      <w:r w:rsidR="00153B11">
        <w:t>76% of those who have seen the campaign believing it is easy to understand</w:t>
      </w:r>
      <w:r w:rsidR="00AA66F7">
        <w:t>, compared to 66% overall</w:t>
      </w:r>
      <w:r w:rsidR="00153B11">
        <w:t xml:space="preserve">. </w:t>
      </w:r>
    </w:p>
    <w:p w:rsidR="00BB1305" w:rsidRDefault="00B26207" w:rsidP="00E445C3">
      <w:r w:rsidRPr="004D1DC5">
        <w:t>Si</w:t>
      </w:r>
      <w:r w:rsidR="00AA66F7">
        <w:t>milarly, those who have seen</w:t>
      </w:r>
      <w:r w:rsidR="007C57BA">
        <w:t xml:space="preserve"> </w:t>
      </w:r>
      <w:r w:rsidR="00AA66F7">
        <w:t xml:space="preserve">the campaign are significantly more likely to say that the HSR </w:t>
      </w:r>
      <w:r w:rsidR="00852673">
        <w:t xml:space="preserve">‘Is </w:t>
      </w:r>
      <w:r w:rsidRPr="004D1DC5">
        <w:t>informative</w:t>
      </w:r>
      <w:r w:rsidR="00852673">
        <w:t>’</w:t>
      </w:r>
      <w:r w:rsidR="00AA66F7">
        <w:t>, at 75% compared to 65% overall.</w:t>
      </w:r>
      <w:r w:rsidR="004D1DC5" w:rsidRPr="004D1DC5">
        <w:t xml:space="preserve"> </w:t>
      </w:r>
    </w:p>
    <w:p w:rsidR="00BB1305" w:rsidRDefault="00181F89" w:rsidP="00E445C3">
      <w:r>
        <w:t>The campaign has also help</w:t>
      </w:r>
      <w:r w:rsidR="00364A5D">
        <w:t>ed</w:t>
      </w:r>
      <w:r w:rsidR="00B26207" w:rsidRPr="00B26207">
        <w:t xml:space="preserve"> </w:t>
      </w:r>
      <w:r>
        <w:t>make grocery shopping easier</w:t>
      </w:r>
      <w:r w:rsidR="00B26207">
        <w:t xml:space="preserve">. </w:t>
      </w:r>
      <w:r w:rsidR="00B26207" w:rsidRPr="00B26207">
        <w:t xml:space="preserve">Those who have seen the campaign are more likely </w:t>
      </w:r>
      <w:r>
        <w:t xml:space="preserve">to agree the </w:t>
      </w:r>
      <w:r w:rsidR="00B26207" w:rsidRPr="00B26207">
        <w:t xml:space="preserve">HSR </w:t>
      </w:r>
      <w:r>
        <w:t xml:space="preserve">‘helps me </w:t>
      </w:r>
      <w:r w:rsidR="00B26207" w:rsidRPr="00B26207">
        <w:t xml:space="preserve">make </w:t>
      </w:r>
      <w:r>
        <w:t>decisions about which foods to buy</w:t>
      </w:r>
      <w:r w:rsidR="00A279DB">
        <w:t>’</w:t>
      </w:r>
      <w:r>
        <w:t xml:space="preserve"> (68% vs. 58%</w:t>
      </w:r>
      <w:r w:rsidR="00010033">
        <w:t xml:space="preserve"> amongst </w:t>
      </w:r>
      <w:r w:rsidR="005A0A18">
        <w:t xml:space="preserve">the </w:t>
      </w:r>
      <w:r w:rsidR="00010033">
        <w:t>total sample</w:t>
      </w:r>
      <w:r>
        <w:t>)</w:t>
      </w:r>
      <w:r w:rsidR="00693ABE">
        <w:t xml:space="preserve"> and </w:t>
      </w:r>
      <w:r>
        <w:t>‘makes choosing foods easier’ (64% vs. 55%</w:t>
      </w:r>
      <w:r w:rsidR="00010033">
        <w:t xml:space="preserve"> amongst </w:t>
      </w:r>
      <w:r w:rsidR="005A0A18">
        <w:t xml:space="preserve">the </w:t>
      </w:r>
      <w:r w:rsidR="00010033">
        <w:t>total sample</w:t>
      </w:r>
      <w:r>
        <w:t>)</w:t>
      </w:r>
      <w:r w:rsidR="004D1DC5">
        <w:t xml:space="preserve">. </w:t>
      </w:r>
    </w:p>
    <w:p w:rsidR="00117D13" w:rsidRDefault="00117D13" w:rsidP="00117D13">
      <w:r w:rsidRPr="00B26207">
        <w:t>T</w:t>
      </w:r>
      <w:r>
        <w:t>he campaign appears to be driving credibility of HSR, with t</w:t>
      </w:r>
      <w:r w:rsidRPr="00B26207">
        <w:t>hose who ha</w:t>
      </w:r>
      <w:r>
        <w:t>d</w:t>
      </w:r>
      <w:r w:rsidRPr="00B26207">
        <w:t xml:space="preserve"> seen the campaign </w:t>
      </w:r>
      <w:r>
        <w:t xml:space="preserve">prior to the survey </w:t>
      </w:r>
      <w:r w:rsidRPr="00B26207">
        <w:t>considerably more likely to</w:t>
      </w:r>
      <w:r>
        <w:t xml:space="preserve"> agree the HSR system is believable</w:t>
      </w:r>
      <w:r w:rsidRPr="00B26207">
        <w:t xml:space="preserve"> </w:t>
      </w:r>
      <w:r>
        <w:t>(65% vs. 48%</w:t>
      </w:r>
      <w:r w:rsidR="00010033" w:rsidRPr="00010033">
        <w:t xml:space="preserve"> </w:t>
      </w:r>
      <w:r w:rsidR="00010033">
        <w:t>amongst</w:t>
      </w:r>
      <w:r w:rsidR="005A0A18">
        <w:t xml:space="preserve"> the</w:t>
      </w:r>
      <w:r w:rsidR="00010033">
        <w:t xml:space="preserve"> total sample</w:t>
      </w:r>
      <w:r>
        <w:t>).</w:t>
      </w:r>
    </w:p>
    <w:p w:rsidR="00010033" w:rsidRPr="00C67326" w:rsidRDefault="00010033" w:rsidP="00010033">
      <w:pPr>
        <w:rPr>
          <w:b/>
        </w:rPr>
      </w:pPr>
      <w:r>
        <w:t>There remains an issue around the number of people who state the HSR m</w:t>
      </w:r>
      <w:r w:rsidRPr="00BB1305">
        <w:rPr>
          <w:color w:val="000000"/>
          <w:szCs w:val="22"/>
          <w:lang w:eastAsia="en-AU"/>
        </w:rPr>
        <w:t xml:space="preserve">akes it easier for </w:t>
      </w:r>
      <w:r>
        <w:rPr>
          <w:color w:val="000000"/>
          <w:szCs w:val="22"/>
          <w:lang w:eastAsia="en-AU"/>
        </w:rPr>
        <w:t>them</w:t>
      </w:r>
      <w:r w:rsidRPr="00BB1305">
        <w:rPr>
          <w:color w:val="000000"/>
          <w:szCs w:val="22"/>
          <w:lang w:eastAsia="en-AU"/>
        </w:rPr>
        <w:t xml:space="preserve"> to compare products that are in different sections of the supermarket</w:t>
      </w:r>
      <w:r>
        <w:rPr>
          <w:color w:val="000000"/>
          <w:szCs w:val="22"/>
          <w:lang w:eastAsia="en-AU"/>
        </w:rPr>
        <w:t xml:space="preserve"> (42%). </w:t>
      </w:r>
      <w:r w:rsidRPr="00281DE8">
        <w:rPr>
          <w:color w:val="000000"/>
          <w:szCs w:val="22"/>
          <w:lang w:eastAsia="en-AU"/>
        </w:rPr>
        <w:t xml:space="preserve">Communication is needed to explain </w:t>
      </w:r>
      <w:r>
        <w:rPr>
          <w:color w:val="000000"/>
          <w:szCs w:val="22"/>
          <w:lang w:eastAsia="en-AU"/>
        </w:rPr>
        <w:t>the most</w:t>
      </w:r>
      <w:r w:rsidRPr="00281DE8">
        <w:rPr>
          <w:color w:val="000000"/>
          <w:szCs w:val="22"/>
          <w:lang w:eastAsia="en-AU"/>
        </w:rPr>
        <w:t xml:space="preserve"> </w:t>
      </w:r>
      <w:r>
        <w:rPr>
          <w:color w:val="000000"/>
          <w:szCs w:val="22"/>
          <w:lang w:eastAsia="en-AU"/>
        </w:rPr>
        <w:t xml:space="preserve">appropriate </w:t>
      </w:r>
      <w:r w:rsidRPr="00281DE8">
        <w:rPr>
          <w:color w:val="000000"/>
          <w:szCs w:val="22"/>
          <w:lang w:eastAsia="en-AU"/>
        </w:rPr>
        <w:t>use</w:t>
      </w:r>
      <w:r>
        <w:rPr>
          <w:color w:val="000000"/>
          <w:szCs w:val="22"/>
          <w:lang w:eastAsia="en-AU"/>
        </w:rPr>
        <w:t xml:space="preserve"> of</w:t>
      </w:r>
      <w:r w:rsidRPr="00281DE8">
        <w:rPr>
          <w:color w:val="000000"/>
          <w:szCs w:val="22"/>
          <w:lang w:eastAsia="en-AU"/>
        </w:rPr>
        <w:t xml:space="preserve"> the HSR, to ensure there is no loss in credibility, which could occur when used</w:t>
      </w:r>
      <w:r>
        <w:rPr>
          <w:color w:val="000000"/>
          <w:szCs w:val="22"/>
          <w:lang w:eastAsia="en-AU"/>
        </w:rPr>
        <w:t xml:space="preserve"> inappropriately</w:t>
      </w:r>
      <w:r w:rsidRPr="00281DE8">
        <w:rPr>
          <w:color w:val="000000"/>
          <w:szCs w:val="22"/>
          <w:lang w:eastAsia="en-AU"/>
        </w:rPr>
        <w:t xml:space="preserve"> across categories.</w:t>
      </w:r>
      <w:r>
        <w:rPr>
          <w:b/>
          <w:color w:val="000000"/>
          <w:szCs w:val="22"/>
          <w:lang w:eastAsia="en-AU"/>
        </w:rPr>
        <w:t xml:space="preserve"> </w:t>
      </w:r>
      <w:r w:rsidRPr="00C67326">
        <w:rPr>
          <w:b/>
          <w:color w:val="000000"/>
          <w:szCs w:val="22"/>
          <w:lang w:eastAsia="en-AU"/>
        </w:rPr>
        <w:t xml:space="preserve"> </w:t>
      </w:r>
    </w:p>
    <w:p w:rsidR="00281DE8" w:rsidRDefault="00181F89" w:rsidP="00E445C3">
      <w:r>
        <w:t>A</w:t>
      </w:r>
      <w:r w:rsidR="00856302">
        <w:t>lthough it is reasonable to expect that those who are exposed to HSR for the first time in the survey are not likely to give high ratings for trust or independence without more opportunity to interact with or find out about HSR</w:t>
      </w:r>
      <w:r w:rsidR="00117D13">
        <w:t>, t</w:t>
      </w:r>
      <w:r w:rsidR="00117D13" w:rsidRPr="00B26207">
        <w:t>rust</w:t>
      </w:r>
      <w:r w:rsidR="00117D13">
        <w:t xml:space="preserve"> in,</w:t>
      </w:r>
      <w:r w:rsidR="00117D13" w:rsidRPr="00B26207">
        <w:t xml:space="preserve"> and independence of the HSR are still areas </w:t>
      </w:r>
      <w:r w:rsidR="00117D13">
        <w:t>to work on, as shown in Table 9 below.</w:t>
      </w:r>
      <w:r w:rsidR="00856302">
        <w:t xml:space="preserve"> </w:t>
      </w:r>
    </w:p>
    <w:p w:rsidR="00576335" w:rsidRDefault="00576335">
      <w:pPr>
        <w:spacing w:after="0" w:line="240" w:lineRule="auto"/>
        <w:rPr>
          <w:sz w:val="20"/>
        </w:rPr>
      </w:pPr>
    </w:p>
    <w:p w:rsidR="00BB1131" w:rsidRDefault="00BB1131">
      <w:pPr>
        <w:spacing w:after="0" w:line="240" w:lineRule="auto"/>
        <w:rPr>
          <w:sz w:val="20"/>
        </w:rPr>
      </w:pPr>
      <w:r>
        <w:rPr>
          <w:sz w:val="20"/>
        </w:rPr>
        <w:br w:type="page"/>
      </w:r>
    </w:p>
    <w:p w:rsidR="00BB1305" w:rsidRPr="00270839" w:rsidRDefault="00BB1305" w:rsidP="00E653FA">
      <w:pPr>
        <w:spacing w:after="0" w:line="240" w:lineRule="auto"/>
        <w:rPr>
          <w:sz w:val="20"/>
        </w:rPr>
      </w:pPr>
      <w:r w:rsidRPr="00270839">
        <w:rPr>
          <w:sz w:val="20"/>
        </w:rPr>
        <w:lastRenderedPageBreak/>
        <w:t xml:space="preserve">Table </w:t>
      </w:r>
      <w:r w:rsidR="007A0132" w:rsidRPr="00270839">
        <w:rPr>
          <w:sz w:val="20"/>
        </w:rPr>
        <w:t>9</w:t>
      </w:r>
      <w:r w:rsidR="00270839">
        <w:rPr>
          <w:sz w:val="20"/>
        </w:rPr>
        <w:t xml:space="preserve"> – </w:t>
      </w:r>
      <w:r w:rsidR="00FD20D8">
        <w:rPr>
          <w:sz w:val="20"/>
        </w:rPr>
        <w:t>Percep</w:t>
      </w:r>
      <w:r w:rsidR="00270839">
        <w:rPr>
          <w:sz w:val="20"/>
        </w:rPr>
        <w:t xml:space="preserve">tion of </w:t>
      </w:r>
      <w:r w:rsidR="00FD20D8">
        <w:rPr>
          <w:sz w:val="20"/>
        </w:rPr>
        <w:t>the HSR</w:t>
      </w:r>
      <w:r w:rsidR="00BF1986">
        <w:rPr>
          <w:sz w:val="20"/>
        </w:rPr>
        <w:t>:</w:t>
      </w:r>
      <w:r w:rsidR="00FD20D8">
        <w:rPr>
          <w:sz w:val="20"/>
        </w:rPr>
        <w:t xml:space="preserve"> </w:t>
      </w:r>
      <w:r w:rsidR="002451F9">
        <w:rPr>
          <w:sz w:val="20"/>
        </w:rPr>
        <w:t>agreement</w:t>
      </w:r>
      <w:r w:rsidR="00FD20D8">
        <w:rPr>
          <w:sz w:val="20"/>
        </w:rPr>
        <w:t xml:space="preserve"> with statements</w:t>
      </w:r>
    </w:p>
    <w:tbl>
      <w:tblPr>
        <w:tblW w:w="8237" w:type="dxa"/>
        <w:tblInd w:w="93" w:type="dxa"/>
        <w:tblLook w:val="04A0" w:firstRow="1" w:lastRow="0" w:firstColumn="1" w:lastColumn="0" w:noHBand="0" w:noVBand="1"/>
      </w:tblPr>
      <w:tblGrid>
        <w:gridCol w:w="5544"/>
        <w:gridCol w:w="1275"/>
        <w:gridCol w:w="1418"/>
      </w:tblGrid>
      <w:tr w:rsidR="00BB1305" w:rsidRPr="00BB1305" w:rsidTr="005A0A18">
        <w:trPr>
          <w:trHeight w:val="300"/>
        </w:trPr>
        <w:tc>
          <w:tcPr>
            <w:tcW w:w="5544" w:type="dxa"/>
            <w:tcBorders>
              <w:bottom w:val="single" w:sz="4" w:space="0" w:color="auto"/>
            </w:tcBorders>
            <w:shd w:val="clear" w:color="auto" w:fill="FFF6D7"/>
            <w:noWrap/>
            <w:vAlign w:val="bottom"/>
            <w:hideMark/>
          </w:tcPr>
          <w:p w:rsidR="00BB1305" w:rsidRPr="00EE2A31" w:rsidRDefault="00FD20D8" w:rsidP="005A0A18">
            <w:pPr>
              <w:spacing w:after="0" w:line="240" w:lineRule="auto"/>
              <w:rPr>
                <w:bCs/>
                <w:color w:val="000000" w:themeColor="text1"/>
              </w:rPr>
            </w:pPr>
            <w:r w:rsidRPr="00EE2A31">
              <w:rPr>
                <w:bCs/>
                <w:color w:val="000000" w:themeColor="text1"/>
              </w:rPr>
              <w:t>The Health Star Rating</w:t>
            </w:r>
          </w:p>
        </w:tc>
        <w:tc>
          <w:tcPr>
            <w:tcW w:w="1275" w:type="dxa"/>
            <w:tcBorders>
              <w:bottom w:val="single" w:sz="4" w:space="0" w:color="auto"/>
            </w:tcBorders>
            <w:shd w:val="clear" w:color="auto" w:fill="FFF6D7"/>
            <w:noWrap/>
            <w:vAlign w:val="bottom"/>
            <w:hideMark/>
          </w:tcPr>
          <w:p w:rsidR="00BB1305" w:rsidRPr="00EE2A31" w:rsidRDefault="00BB1305" w:rsidP="005A0A18">
            <w:pPr>
              <w:spacing w:after="0" w:line="240" w:lineRule="auto"/>
              <w:jc w:val="center"/>
              <w:rPr>
                <w:bCs/>
                <w:color w:val="000000" w:themeColor="text1"/>
              </w:rPr>
            </w:pPr>
            <w:r w:rsidRPr="00EE2A31">
              <w:rPr>
                <w:bCs/>
                <w:color w:val="000000" w:themeColor="text1"/>
              </w:rPr>
              <w:t>Total</w:t>
            </w:r>
          </w:p>
        </w:tc>
        <w:tc>
          <w:tcPr>
            <w:tcW w:w="1418" w:type="dxa"/>
            <w:tcBorders>
              <w:bottom w:val="single" w:sz="4" w:space="0" w:color="auto"/>
            </w:tcBorders>
            <w:shd w:val="clear" w:color="auto" w:fill="FFF6D7"/>
            <w:noWrap/>
            <w:vAlign w:val="bottom"/>
            <w:hideMark/>
          </w:tcPr>
          <w:p w:rsidR="00BB1305" w:rsidRPr="00EE2A31" w:rsidRDefault="00BB1305" w:rsidP="005A0A18">
            <w:pPr>
              <w:spacing w:after="0" w:line="240" w:lineRule="auto"/>
              <w:jc w:val="center"/>
              <w:rPr>
                <w:bCs/>
                <w:color w:val="000000" w:themeColor="text1"/>
              </w:rPr>
            </w:pPr>
            <w:r w:rsidRPr="00EE2A31">
              <w:rPr>
                <w:bCs/>
                <w:color w:val="000000" w:themeColor="text1"/>
              </w:rPr>
              <w:t>Seen campaign</w:t>
            </w:r>
          </w:p>
        </w:tc>
      </w:tr>
      <w:tr w:rsidR="00BB1305" w:rsidRPr="00BB1305" w:rsidTr="005A0A18">
        <w:trPr>
          <w:trHeight w:val="454"/>
        </w:trPr>
        <w:tc>
          <w:tcPr>
            <w:tcW w:w="5544" w:type="dxa"/>
            <w:tcBorders>
              <w:top w:val="single" w:sz="4" w:space="0" w:color="auto"/>
            </w:tcBorders>
            <w:shd w:val="clear" w:color="auto" w:fill="auto"/>
            <w:noWrap/>
            <w:vAlign w:val="bottom"/>
            <w:hideMark/>
          </w:tcPr>
          <w:p w:rsidR="00BB1305" w:rsidRPr="00BB1305" w:rsidRDefault="00BB1305" w:rsidP="005A0A18">
            <w:pPr>
              <w:spacing w:after="0" w:line="240" w:lineRule="auto"/>
              <w:rPr>
                <w:color w:val="000000"/>
                <w:szCs w:val="22"/>
                <w:lang w:eastAsia="en-AU"/>
              </w:rPr>
            </w:pPr>
            <w:r w:rsidRPr="00BB1305">
              <w:rPr>
                <w:color w:val="000000"/>
                <w:szCs w:val="22"/>
                <w:lang w:eastAsia="en-AU"/>
              </w:rPr>
              <w:t>Is easy to understand</w:t>
            </w:r>
          </w:p>
        </w:tc>
        <w:tc>
          <w:tcPr>
            <w:tcW w:w="1275" w:type="dxa"/>
            <w:tcBorders>
              <w:top w:val="single" w:sz="4" w:space="0" w:color="auto"/>
            </w:tcBorders>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66%</w:t>
            </w:r>
          </w:p>
        </w:tc>
        <w:tc>
          <w:tcPr>
            <w:tcW w:w="1418" w:type="dxa"/>
            <w:tcBorders>
              <w:top w:val="single" w:sz="4" w:space="0" w:color="auto"/>
            </w:tcBorders>
            <w:shd w:val="clear" w:color="auto" w:fill="auto"/>
            <w:noWrap/>
            <w:vAlign w:val="center"/>
            <w:hideMark/>
          </w:tcPr>
          <w:p w:rsidR="00BB1305" w:rsidRPr="00E653FA" w:rsidRDefault="00BB1305" w:rsidP="005A0A18">
            <w:pPr>
              <w:spacing w:after="0" w:line="240" w:lineRule="auto"/>
              <w:jc w:val="center"/>
              <w:rPr>
                <w:b/>
                <w:color w:val="000000"/>
                <w:szCs w:val="22"/>
                <w:lang w:eastAsia="en-AU"/>
              </w:rPr>
            </w:pPr>
            <w:r w:rsidRPr="00E653FA">
              <w:rPr>
                <w:b/>
                <w:color w:val="000000"/>
                <w:szCs w:val="22"/>
                <w:lang w:eastAsia="en-AU"/>
              </w:rPr>
              <w:t>76%</w:t>
            </w:r>
            <w:r w:rsidR="005C5CC3" w:rsidRPr="00E653FA">
              <w:rPr>
                <w:b/>
                <w:color w:val="000000"/>
                <w:szCs w:val="22"/>
                <w:lang w:eastAsia="en-AU"/>
              </w:rPr>
              <w:t>*</w:t>
            </w:r>
          </w:p>
        </w:tc>
      </w:tr>
      <w:tr w:rsidR="00BB1305" w:rsidRPr="00BB1305" w:rsidTr="005A0A18">
        <w:trPr>
          <w:trHeight w:val="454"/>
        </w:trPr>
        <w:tc>
          <w:tcPr>
            <w:tcW w:w="5544" w:type="dxa"/>
            <w:shd w:val="clear" w:color="auto" w:fill="auto"/>
            <w:noWrap/>
            <w:vAlign w:val="bottom"/>
            <w:hideMark/>
          </w:tcPr>
          <w:p w:rsidR="00BB1305" w:rsidRPr="00BB1305" w:rsidRDefault="00BB1305" w:rsidP="005A0A18">
            <w:pPr>
              <w:spacing w:after="0" w:line="240" w:lineRule="auto"/>
              <w:rPr>
                <w:color w:val="000000"/>
                <w:szCs w:val="22"/>
                <w:lang w:eastAsia="en-AU"/>
              </w:rPr>
            </w:pPr>
            <w:r w:rsidRPr="00BB1305">
              <w:rPr>
                <w:color w:val="000000"/>
                <w:szCs w:val="22"/>
                <w:lang w:eastAsia="en-AU"/>
              </w:rPr>
              <w:t>Is informative</w:t>
            </w:r>
          </w:p>
        </w:tc>
        <w:tc>
          <w:tcPr>
            <w:tcW w:w="1275" w:type="dxa"/>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65%</w:t>
            </w:r>
          </w:p>
        </w:tc>
        <w:tc>
          <w:tcPr>
            <w:tcW w:w="1418" w:type="dxa"/>
            <w:shd w:val="clear" w:color="auto" w:fill="auto"/>
            <w:noWrap/>
            <w:vAlign w:val="center"/>
            <w:hideMark/>
          </w:tcPr>
          <w:p w:rsidR="00BB1305" w:rsidRPr="00E653FA" w:rsidRDefault="00BB1305" w:rsidP="005A0A18">
            <w:pPr>
              <w:spacing w:after="0" w:line="240" w:lineRule="auto"/>
              <w:jc w:val="center"/>
              <w:rPr>
                <w:b/>
                <w:color w:val="000000"/>
                <w:szCs w:val="22"/>
                <w:lang w:eastAsia="en-AU"/>
              </w:rPr>
            </w:pPr>
            <w:r w:rsidRPr="00E653FA">
              <w:rPr>
                <w:b/>
                <w:color w:val="000000"/>
                <w:szCs w:val="22"/>
                <w:lang w:eastAsia="en-AU"/>
              </w:rPr>
              <w:t>75%</w:t>
            </w:r>
            <w:r w:rsidR="005C5CC3" w:rsidRPr="00E653FA">
              <w:rPr>
                <w:b/>
                <w:color w:val="000000"/>
                <w:szCs w:val="22"/>
                <w:lang w:eastAsia="en-AU"/>
              </w:rPr>
              <w:t>*</w:t>
            </w:r>
          </w:p>
        </w:tc>
      </w:tr>
      <w:tr w:rsidR="00BB1305" w:rsidRPr="00BB1305" w:rsidTr="005A0A18">
        <w:trPr>
          <w:trHeight w:val="454"/>
        </w:trPr>
        <w:tc>
          <w:tcPr>
            <w:tcW w:w="5544" w:type="dxa"/>
            <w:shd w:val="clear" w:color="auto" w:fill="auto"/>
            <w:noWrap/>
            <w:vAlign w:val="bottom"/>
            <w:hideMark/>
          </w:tcPr>
          <w:p w:rsidR="00BB1305" w:rsidRPr="00BB1305" w:rsidRDefault="00BB1305" w:rsidP="005A0A18">
            <w:pPr>
              <w:spacing w:after="0" w:line="240" w:lineRule="auto"/>
              <w:rPr>
                <w:color w:val="000000"/>
                <w:szCs w:val="22"/>
                <w:lang w:eastAsia="en-AU"/>
              </w:rPr>
            </w:pPr>
            <w:r w:rsidRPr="00BB1305">
              <w:rPr>
                <w:color w:val="000000"/>
                <w:szCs w:val="22"/>
                <w:lang w:eastAsia="en-AU"/>
              </w:rPr>
              <w:t>It tells me something new</w:t>
            </w:r>
          </w:p>
        </w:tc>
        <w:tc>
          <w:tcPr>
            <w:tcW w:w="1275" w:type="dxa"/>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58%</w:t>
            </w:r>
          </w:p>
        </w:tc>
        <w:tc>
          <w:tcPr>
            <w:tcW w:w="1418" w:type="dxa"/>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64%</w:t>
            </w:r>
          </w:p>
        </w:tc>
      </w:tr>
      <w:tr w:rsidR="00BB1305" w:rsidRPr="00BB1305" w:rsidTr="005A0A18">
        <w:trPr>
          <w:trHeight w:val="454"/>
        </w:trPr>
        <w:tc>
          <w:tcPr>
            <w:tcW w:w="5544" w:type="dxa"/>
            <w:shd w:val="clear" w:color="auto" w:fill="auto"/>
            <w:noWrap/>
            <w:vAlign w:val="bottom"/>
            <w:hideMark/>
          </w:tcPr>
          <w:p w:rsidR="00BB1305" w:rsidRPr="00BB1305" w:rsidRDefault="00BB1305" w:rsidP="005A0A18">
            <w:pPr>
              <w:spacing w:after="0" w:line="240" w:lineRule="auto"/>
              <w:rPr>
                <w:color w:val="000000"/>
                <w:szCs w:val="22"/>
                <w:lang w:eastAsia="en-AU"/>
              </w:rPr>
            </w:pPr>
            <w:r w:rsidRPr="00BB1305">
              <w:rPr>
                <w:color w:val="000000"/>
                <w:szCs w:val="22"/>
                <w:lang w:eastAsia="en-AU"/>
              </w:rPr>
              <w:t>It stands out on the pack</w:t>
            </w:r>
          </w:p>
        </w:tc>
        <w:tc>
          <w:tcPr>
            <w:tcW w:w="1275" w:type="dxa"/>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55%</w:t>
            </w:r>
          </w:p>
        </w:tc>
        <w:tc>
          <w:tcPr>
            <w:tcW w:w="1418" w:type="dxa"/>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59%</w:t>
            </w:r>
          </w:p>
        </w:tc>
      </w:tr>
      <w:tr w:rsidR="00BB1305" w:rsidRPr="00BB1305" w:rsidTr="005A0A18">
        <w:trPr>
          <w:trHeight w:val="454"/>
        </w:trPr>
        <w:tc>
          <w:tcPr>
            <w:tcW w:w="5544" w:type="dxa"/>
            <w:shd w:val="clear" w:color="auto" w:fill="auto"/>
            <w:noWrap/>
            <w:vAlign w:val="bottom"/>
            <w:hideMark/>
          </w:tcPr>
          <w:p w:rsidR="00BB1305" w:rsidRPr="00BB1305" w:rsidRDefault="00BB1305" w:rsidP="005A0A18">
            <w:pPr>
              <w:spacing w:after="0" w:line="240" w:lineRule="auto"/>
              <w:rPr>
                <w:color w:val="000000"/>
                <w:szCs w:val="22"/>
                <w:lang w:eastAsia="en-AU"/>
              </w:rPr>
            </w:pPr>
            <w:r w:rsidRPr="00BB1305">
              <w:rPr>
                <w:color w:val="000000"/>
                <w:szCs w:val="22"/>
                <w:lang w:eastAsia="en-AU"/>
              </w:rPr>
              <w:t>It really grabs my attention</w:t>
            </w:r>
          </w:p>
        </w:tc>
        <w:tc>
          <w:tcPr>
            <w:tcW w:w="1275" w:type="dxa"/>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41%</w:t>
            </w:r>
          </w:p>
        </w:tc>
        <w:tc>
          <w:tcPr>
            <w:tcW w:w="1418" w:type="dxa"/>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46%</w:t>
            </w:r>
          </w:p>
        </w:tc>
      </w:tr>
      <w:tr w:rsidR="00BB1305" w:rsidRPr="00BB1305" w:rsidTr="005A0A18">
        <w:trPr>
          <w:trHeight w:val="454"/>
        </w:trPr>
        <w:tc>
          <w:tcPr>
            <w:tcW w:w="5544" w:type="dxa"/>
            <w:shd w:val="clear" w:color="auto" w:fill="auto"/>
            <w:noWrap/>
            <w:vAlign w:val="bottom"/>
            <w:hideMark/>
          </w:tcPr>
          <w:p w:rsidR="00BB1305" w:rsidRPr="00BB1305" w:rsidRDefault="00BB1305" w:rsidP="005A0A18">
            <w:pPr>
              <w:spacing w:after="0" w:line="240" w:lineRule="auto"/>
              <w:rPr>
                <w:color w:val="000000"/>
                <w:szCs w:val="22"/>
                <w:lang w:eastAsia="en-AU"/>
              </w:rPr>
            </w:pPr>
            <w:r w:rsidRPr="00BB1305">
              <w:rPr>
                <w:color w:val="000000"/>
                <w:szCs w:val="22"/>
                <w:lang w:eastAsia="en-AU"/>
              </w:rPr>
              <w:t>Is confusing</w:t>
            </w:r>
          </w:p>
        </w:tc>
        <w:tc>
          <w:tcPr>
            <w:tcW w:w="1275" w:type="dxa"/>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14%</w:t>
            </w:r>
          </w:p>
        </w:tc>
        <w:tc>
          <w:tcPr>
            <w:tcW w:w="1418" w:type="dxa"/>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14%</w:t>
            </w:r>
          </w:p>
        </w:tc>
      </w:tr>
      <w:tr w:rsidR="00BB1305" w:rsidRPr="00BB1305" w:rsidTr="005A0A18">
        <w:trPr>
          <w:trHeight w:val="300"/>
        </w:trPr>
        <w:tc>
          <w:tcPr>
            <w:tcW w:w="5544" w:type="dxa"/>
            <w:tcBorders>
              <w:bottom w:val="single" w:sz="4" w:space="0" w:color="auto"/>
            </w:tcBorders>
            <w:shd w:val="clear" w:color="auto" w:fill="FFF6D7"/>
            <w:noWrap/>
            <w:vAlign w:val="bottom"/>
            <w:hideMark/>
          </w:tcPr>
          <w:p w:rsidR="00BB1305" w:rsidRPr="00EE2A31" w:rsidRDefault="00FD20D8" w:rsidP="005A0A18">
            <w:pPr>
              <w:spacing w:after="0" w:line="240" w:lineRule="auto"/>
              <w:rPr>
                <w:bCs/>
                <w:color w:val="000000" w:themeColor="text1"/>
              </w:rPr>
            </w:pPr>
            <w:r w:rsidRPr="00EE2A31">
              <w:rPr>
                <w:bCs/>
                <w:color w:val="000000" w:themeColor="text1"/>
              </w:rPr>
              <w:t>Using</w:t>
            </w:r>
            <w:r w:rsidR="00281DE8" w:rsidRPr="00EE2A31">
              <w:rPr>
                <w:bCs/>
                <w:color w:val="000000" w:themeColor="text1"/>
              </w:rPr>
              <w:t xml:space="preserve"> </w:t>
            </w:r>
            <w:r w:rsidR="00BB1305" w:rsidRPr="00EE2A31">
              <w:rPr>
                <w:bCs/>
                <w:color w:val="000000" w:themeColor="text1"/>
              </w:rPr>
              <w:t xml:space="preserve">the </w:t>
            </w:r>
            <w:r w:rsidRPr="00EE2A31">
              <w:rPr>
                <w:bCs/>
                <w:color w:val="000000" w:themeColor="text1"/>
              </w:rPr>
              <w:t>Health Star Rating</w:t>
            </w:r>
          </w:p>
        </w:tc>
        <w:tc>
          <w:tcPr>
            <w:tcW w:w="1275" w:type="dxa"/>
            <w:tcBorders>
              <w:bottom w:val="single" w:sz="4" w:space="0" w:color="auto"/>
            </w:tcBorders>
            <w:shd w:val="clear" w:color="auto" w:fill="FFF6D7"/>
            <w:noWrap/>
            <w:vAlign w:val="bottom"/>
            <w:hideMark/>
          </w:tcPr>
          <w:p w:rsidR="00BB1305" w:rsidRPr="00EE2A31" w:rsidRDefault="00BB1305" w:rsidP="005A0A18">
            <w:pPr>
              <w:spacing w:after="0" w:line="240" w:lineRule="auto"/>
              <w:jc w:val="center"/>
              <w:rPr>
                <w:bCs/>
                <w:color w:val="000000" w:themeColor="text1"/>
              </w:rPr>
            </w:pPr>
            <w:r w:rsidRPr="00EE2A31">
              <w:rPr>
                <w:bCs/>
                <w:color w:val="000000" w:themeColor="text1"/>
              </w:rPr>
              <w:t>Total</w:t>
            </w:r>
          </w:p>
        </w:tc>
        <w:tc>
          <w:tcPr>
            <w:tcW w:w="1418" w:type="dxa"/>
            <w:tcBorders>
              <w:bottom w:val="single" w:sz="4" w:space="0" w:color="auto"/>
            </w:tcBorders>
            <w:shd w:val="clear" w:color="auto" w:fill="FFF6D7"/>
            <w:noWrap/>
            <w:vAlign w:val="bottom"/>
            <w:hideMark/>
          </w:tcPr>
          <w:p w:rsidR="00BB1305" w:rsidRPr="00EE2A31" w:rsidRDefault="00BB1305" w:rsidP="005A0A18">
            <w:pPr>
              <w:spacing w:after="0" w:line="240" w:lineRule="auto"/>
              <w:jc w:val="center"/>
              <w:rPr>
                <w:bCs/>
                <w:color w:val="000000" w:themeColor="text1"/>
              </w:rPr>
            </w:pPr>
            <w:r w:rsidRPr="00EE2A31">
              <w:rPr>
                <w:bCs/>
                <w:color w:val="000000" w:themeColor="text1"/>
              </w:rPr>
              <w:t>Seen campaign</w:t>
            </w:r>
          </w:p>
        </w:tc>
      </w:tr>
      <w:tr w:rsidR="00BB1305" w:rsidRPr="00BB1305" w:rsidTr="005A0A18">
        <w:trPr>
          <w:trHeight w:val="454"/>
        </w:trPr>
        <w:tc>
          <w:tcPr>
            <w:tcW w:w="5544" w:type="dxa"/>
            <w:tcBorders>
              <w:top w:val="single" w:sz="4" w:space="0" w:color="auto"/>
            </w:tcBorders>
            <w:shd w:val="clear" w:color="auto" w:fill="auto"/>
            <w:noWrap/>
            <w:vAlign w:val="bottom"/>
            <w:hideMark/>
          </w:tcPr>
          <w:p w:rsidR="00BB1305" w:rsidRPr="00BB1305" w:rsidRDefault="00BB1305" w:rsidP="005A0A18">
            <w:pPr>
              <w:spacing w:after="40" w:line="240" w:lineRule="auto"/>
              <w:rPr>
                <w:color w:val="000000"/>
                <w:szCs w:val="22"/>
                <w:lang w:eastAsia="en-AU"/>
              </w:rPr>
            </w:pPr>
            <w:r w:rsidRPr="00BB1305">
              <w:rPr>
                <w:color w:val="000000"/>
                <w:szCs w:val="22"/>
                <w:lang w:eastAsia="en-AU"/>
              </w:rPr>
              <w:t>Makes it easier for me to identify the healthier option</w:t>
            </w:r>
          </w:p>
        </w:tc>
        <w:tc>
          <w:tcPr>
            <w:tcW w:w="1275" w:type="dxa"/>
            <w:tcBorders>
              <w:top w:val="single" w:sz="4" w:space="0" w:color="auto"/>
            </w:tcBorders>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70%</w:t>
            </w:r>
          </w:p>
        </w:tc>
        <w:tc>
          <w:tcPr>
            <w:tcW w:w="1418" w:type="dxa"/>
            <w:tcBorders>
              <w:top w:val="single" w:sz="4" w:space="0" w:color="auto"/>
            </w:tcBorders>
            <w:shd w:val="clear" w:color="auto" w:fill="auto"/>
            <w:noWrap/>
            <w:vAlign w:val="center"/>
            <w:hideMark/>
          </w:tcPr>
          <w:p w:rsidR="00BB1305" w:rsidRPr="00E653FA" w:rsidRDefault="00BB1305" w:rsidP="005A0A18">
            <w:pPr>
              <w:spacing w:after="0" w:line="240" w:lineRule="auto"/>
              <w:jc w:val="center"/>
              <w:rPr>
                <w:b/>
                <w:color w:val="000000"/>
                <w:szCs w:val="22"/>
                <w:lang w:eastAsia="en-AU"/>
              </w:rPr>
            </w:pPr>
            <w:r w:rsidRPr="00E653FA">
              <w:rPr>
                <w:b/>
                <w:color w:val="000000"/>
                <w:szCs w:val="22"/>
                <w:lang w:eastAsia="en-AU"/>
              </w:rPr>
              <w:t>76%</w:t>
            </w:r>
            <w:r w:rsidR="005C5CC3" w:rsidRPr="00E653FA">
              <w:rPr>
                <w:b/>
                <w:color w:val="000000"/>
                <w:szCs w:val="22"/>
                <w:lang w:eastAsia="en-AU"/>
              </w:rPr>
              <w:t>*</w:t>
            </w:r>
          </w:p>
        </w:tc>
      </w:tr>
      <w:tr w:rsidR="00BB1305" w:rsidRPr="00BB1305" w:rsidTr="005A0A18">
        <w:trPr>
          <w:trHeight w:val="454"/>
        </w:trPr>
        <w:tc>
          <w:tcPr>
            <w:tcW w:w="5544" w:type="dxa"/>
            <w:shd w:val="clear" w:color="auto" w:fill="auto"/>
            <w:noWrap/>
            <w:vAlign w:val="bottom"/>
            <w:hideMark/>
          </w:tcPr>
          <w:p w:rsidR="00BB1305" w:rsidRPr="00BB1305" w:rsidRDefault="00BB1305" w:rsidP="005A0A18">
            <w:pPr>
              <w:spacing w:after="40" w:line="240" w:lineRule="auto"/>
              <w:rPr>
                <w:color w:val="000000"/>
                <w:szCs w:val="22"/>
                <w:lang w:eastAsia="en-AU"/>
              </w:rPr>
            </w:pPr>
            <w:r w:rsidRPr="00BB1305">
              <w:rPr>
                <w:color w:val="000000"/>
                <w:szCs w:val="22"/>
                <w:lang w:eastAsia="en-AU"/>
              </w:rPr>
              <w:t>Makes it easier for me to compare products that are in the same section of the supermarket</w:t>
            </w:r>
          </w:p>
        </w:tc>
        <w:tc>
          <w:tcPr>
            <w:tcW w:w="1275" w:type="dxa"/>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68%</w:t>
            </w:r>
          </w:p>
        </w:tc>
        <w:tc>
          <w:tcPr>
            <w:tcW w:w="1418" w:type="dxa"/>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72%</w:t>
            </w:r>
          </w:p>
        </w:tc>
      </w:tr>
      <w:tr w:rsidR="00BB1305" w:rsidRPr="00BB1305" w:rsidTr="005A0A18">
        <w:trPr>
          <w:trHeight w:val="454"/>
        </w:trPr>
        <w:tc>
          <w:tcPr>
            <w:tcW w:w="5544" w:type="dxa"/>
            <w:shd w:val="clear" w:color="auto" w:fill="auto"/>
            <w:noWrap/>
            <w:vAlign w:val="bottom"/>
            <w:hideMark/>
          </w:tcPr>
          <w:p w:rsidR="00BB1305" w:rsidRPr="00BB1305" w:rsidRDefault="00BB1305" w:rsidP="005A0A18">
            <w:pPr>
              <w:spacing w:after="40" w:line="240" w:lineRule="auto"/>
              <w:rPr>
                <w:color w:val="000000"/>
                <w:szCs w:val="22"/>
                <w:lang w:eastAsia="en-AU"/>
              </w:rPr>
            </w:pPr>
            <w:r w:rsidRPr="00BB1305">
              <w:rPr>
                <w:color w:val="000000"/>
                <w:szCs w:val="22"/>
                <w:lang w:eastAsia="en-AU"/>
              </w:rPr>
              <w:t>Is easy to use</w:t>
            </w:r>
          </w:p>
        </w:tc>
        <w:tc>
          <w:tcPr>
            <w:tcW w:w="1275" w:type="dxa"/>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65%</w:t>
            </w:r>
          </w:p>
        </w:tc>
        <w:tc>
          <w:tcPr>
            <w:tcW w:w="1418" w:type="dxa"/>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72%</w:t>
            </w:r>
          </w:p>
        </w:tc>
      </w:tr>
      <w:tr w:rsidR="00BB1305" w:rsidRPr="00BB1305" w:rsidTr="005A0A18">
        <w:trPr>
          <w:trHeight w:val="454"/>
        </w:trPr>
        <w:tc>
          <w:tcPr>
            <w:tcW w:w="5544" w:type="dxa"/>
            <w:shd w:val="clear" w:color="auto" w:fill="auto"/>
            <w:noWrap/>
            <w:vAlign w:val="bottom"/>
            <w:hideMark/>
          </w:tcPr>
          <w:p w:rsidR="00BB1305" w:rsidRPr="00BB1305" w:rsidRDefault="00BB1305" w:rsidP="005A0A18">
            <w:pPr>
              <w:spacing w:after="40" w:line="240" w:lineRule="auto"/>
              <w:rPr>
                <w:color w:val="000000"/>
                <w:szCs w:val="22"/>
                <w:lang w:eastAsia="en-AU"/>
              </w:rPr>
            </w:pPr>
            <w:r w:rsidRPr="00BB1305">
              <w:rPr>
                <w:color w:val="000000"/>
                <w:szCs w:val="22"/>
                <w:lang w:eastAsia="en-AU"/>
              </w:rPr>
              <w:t>Helps me make decisions about which foods to buy</w:t>
            </w:r>
          </w:p>
        </w:tc>
        <w:tc>
          <w:tcPr>
            <w:tcW w:w="1275" w:type="dxa"/>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58%</w:t>
            </w:r>
          </w:p>
        </w:tc>
        <w:tc>
          <w:tcPr>
            <w:tcW w:w="1418" w:type="dxa"/>
            <w:shd w:val="clear" w:color="auto" w:fill="auto"/>
            <w:noWrap/>
            <w:vAlign w:val="center"/>
            <w:hideMark/>
          </w:tcPr>
          <w:p w:rsidR="00BB1305" w:rsidRPr="00E653FA" w:rsidRDefault="00BB1305" w:rsidP="005A0A18">
            <w:pPr>
              <w:spacing w:after="0" w:line="240" w:lineRule="auto"/>
              <w:jc w:val="center"/>
              <w:rPr>
                <w:b/>
                <w:color w:val="000000"/>
                <w:szCs w:val="22"/>
                <w:lang w:eastAsia="en-AU"/>
              </w:rPr>
            </w:pPr>
            <w:r w:rsidRPr="00E653FA">
              <w:rPr>
                <w:b/>
                <w:color w:val="000000"/>
                <w:szCs w:val="22"/>
                <w:lang w:eastAsia="en-AU"/>
              </w:rPr>
              <w:t>68%</w:t>
            </w:r>
            <w:r w:rsidR="005C5CC3" w:rsidRPr="00E653FA">
              <w:rPr>
                <w:b/>
                <w:color w:val="000000"/>
                <w:szCs w:val="22"/>
                <w:lang w:eastAsia="en-AU"/>
              </w:rPr>
              <w:t>*</w:t>
            </w:r>
          </w:p>
        </w:tc>
      </w:tr>
      <w:tr w:rsidR="00BB1305" w:rsidRPr="00BB1305" w:rsidTr="005A0A18">
        <w:trPr>
          <w:trHeight w:val="454"/>
        </w:trPr>
        <w:tc>
          <w:tcPr>
            <w:tcW w:w="5544" w:type="dxa"/>
            <w:shd w:val="clear" w:color="auto" w:fill="auto"/>
            <w:noWrap/>
            <w:vAlign w:val="bottom"/>
            <w:hideMark/>
          </w:tcPr>
          <w:p w:rsidR="00BB1305" w:rsidRPr="00BB1305" w:rsidRDefault="00BB1305" w:rsidP="005A0A18">
            <w:pPr>
              <w:spacing w:after="40" w:line="240" w:lineRule="auto"/>
              <w:rPr>
                <w:color w:val="000000"/>
                <w:szCs w:val="22"/>
                <w:lang w:eastAsia="en-AU"/>
              </w:rPr>
            </w:pPr>
            <w:r w:rsidRPr="00BB1305">
              <w:rPr>
                <w:color w:val="000000"/>
                <w:szCs w:val="22"/>
                <w:lang w:eastAsia="en-AU"/>
              </w:rPr>
              <w:t>Makes choosing foods easier</w:t>
            </w:r>
          </w:p>
        </w:tc>
        <w:tc>
          <w:tcPr>
            <w:tcW w:w="1275" w:type="dxa"/>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55%</w:t>
            </w:r>
          </w:p>
        </w:tc>
        <w:tc>
          <w:tcPr>
            <w:tcW w:w="1418" w:type="dxa"/>
            <w:shd w:val="clear" w:color="auto" w:fill="auto"/>
            <w:noWrap/>
            <w:vAlign w:val="center"/>
            <w:hideMark/>
          </w:tcPr>
          <w:p w:rsidR="00BB1305" w:rsidRPr="00E653FA" w:rsidRDefault="00BB1305" w:rsidP="005A0A18">
            <w:pPr>
              <w:spacing w:after="0" w:line="240" w:lineRule="auto"/>
              <w:jc w:val="center"/>
              <w:rPr>
                <w:b/>
                <w:color w:val="000000"/>
                <w:szCs w:val="22"/>
                <w:lang w:eastAsia="en-AU"/>
              </w:rPr>
            </w:pPr>
            <w:r w:rsidRPr="00E653FA">
              <w:rPr>
                <w:b/>
                <w:color w:val="000000"/>
                <w:szCs w:val="22"/>
                <w:lang w:eastAsia="en-AU"/>
              </w:rPr>
              <w:t>64%</w:t>
            </w:r>
            <w:r w:rsidR="005C5CC3" w:rsidRPr="00E653FA">
              <w:rPr>
                <w:b/>
                <w:color w:val="000000"/>
                <w:szCs w:val="22"/>
                <w:lang w:eastAsia="en-AU"/>
              </w:rPr>
              <w:t>*</w:t>
            </w:r>
          </w:p>
        </w:tc>
      </w:tr>
      <w:tr w:rsidR="00BB1305" w:rsidRPr="00BB1305" w:rsidTr="005A0A18">
        <w:trPr>
          <w:trHeight w:val="454"/>
        </w:trPr>
        <w:tc>
          <w:tcPr>
            <w:tcW w:w="5544" w:type="dxa"/>
            <w:shd w:val="clear" w:color="auto" w:fill="auto"/>
            <w:noWrap/>
            <w:vAlign w:val="bottom"/>
            <w:hideMark/>
          </w:tcPr>
          <w:p w:rsidR="00BB1305" w:rsidRPr="00BB1305" w:rsidRDefault="00BB1305" w:rsidP="005A0A18">
            <w:pPr>
              <w:spacing w:after="40" w:line="240" w:lineRule="auto"/>
              <w:rPr>
                <w:color w:val="000000"/>
                <w:szCs w:val="22"/>
                <w:lang w:eastAsia="en-AU"/>
              </w:rPr>
            </w:pPr>
            <w:r w:rsidRPr="00BB1305">
              <w:rPr>
                <w:color w:val="000000"/>
                <w:szCs w:val="22"/>
                <w:lang w:eastAsia="en-AU"/>
              </w:rPr>
              <w:t>Makes it easier for me to compare products that are in different sections of the supermarket</w:t>
            </w:r>
          </w:p>
        </w:tc>
        <w:tc>
          <w:tcPr>
            <w:tcW w:w="1275" w:type="dxa"/>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42%</w:t>
            </w:r>
          </w:p>
        </w:tc>
        <w:tc>
          <w:tcPr>
            <w:tcW w:w="1418" w:type="dxa"/>
            <w:shd w:val="clear" w:color="auto" w:fill="auto"/>
            <w:noWrap/>
            <w:vAlign w:val="center"/>
            <w:hideMark/>
          </w:tcPr>
          <w:p w:rsidR="00BB1305" w:rsidRPr="00E653FA" w:rsidRDefault="00BB1305" w:rsidP="005A0A18">
            <w:pPr>
              <w:spacing w:after="0" w:line="240" w:lineRule="auto"/>
              <w:jc w:val="center"/>
              <w:rPr>
                <w:b/>
                <w:color w:val="000000"/>
                <w:szCs w:val="22"/>
                <w:lang w:eastAsia="en-AU"/>
              </w:rPr>
            </w:pPr>
            <w:r w:rsidRPr="00E653FA">
              <w:rPr>
                <w:b/>
                <w:color w:val="000000"/>
                <w:szCs w:val="22"/>
                <w:lang w:eastAsia="en-AU"/>
              </w:rPr>
              <w:t>52%</w:t>
            </w:r>
            <w:r w:rsidR="005C5CC3" w:rsidRPr="00E653FA">
              <w:rPr>
                <w:b/>
                <w:color w:val="000000"/>
                <w:szCs w:val="22"/>
                <w:lang w:eastAsia="en-AU"/>
              </w:rPr>
              <w:t>*</w:t>
            </w:r>
          </w:p>
        </w:tc>
      </w:tr>
      <w:tr w:rsidR="00BB1305" w:rsidRPr="00BB1305" w:rsidTr="005A0A18">
        <w:trPr>
          <w:trHeight w:val="454"/>
        </w:trPr>
        <w:tc>
          <w:tcPr>
            <w:tcW w:w="5544" w:type="dxa"/>
            <w:shd w:val="clear" w:color="auto" w:fill="auto"/>
            <w:noWrap/>
            <w:vAlign w:val="bottom"/>
            <w:hideMark/>
          </w:tcPr>
          <w:p w:rsidR="00BB1305" w:rsidRPr="00BB1305" w:rsidRDefault="00BB1305" w:rsidP="005A0A18">
            <w:pPr>
              <w:spacing w:after="40" w:line="240" w:lineRule="auto"/>
              <w:rPr>
                <w:color w:val="000000"/>
                <w:szCs w:val="22"/>
                <w:lang w:eastAsia="en-AU"/>
              </w:rPr>
            </w:pPr>
            <w:r w:rsidRPr="00BB1305">
              <w:rPr>
                <w:color w:val="000000"/>
                <w:szCs w:val="22"/>
                <w:lang w:eastAsia="en-AU"/>
              </w:rPr>
              <w:t>It's just another thing on a pack that makes shopping more confusing</w:t>
            </w:r>
          </w:p>
        </w:tc>
        <w:tc>
          <w:tcPr>
            <w:tcW w:w="1275" w:type="dxa"/>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18%</w:t>
            </w:r>
          </w:p>
        </w:tc>
        <w:tc>
          <w:tcPr>
            <w:tcW w:w="1418" w:type="dxa"/>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20%</w:t>
            </w:r>
          </w:p>
        </w:tc>
      </w:tr>
      <w:tr w:rsidR="00BB1305" w:rsidRPr="00BB1305" w:rsidTr="005A0A18">
        <w:trPr>
          <w:trHeight w:val="454"/>
        </w:trPr>
        <w:tc>
          <w:tcPr>
            <w:tcW w:w="5544" w:type="dxa"/>
            <w:shd w:val="clear" w:color="auto" w:fill="auto"/>
            <w:noWrap/>
            <w:vAlign w:val="bottom"/>
            <w:hideMark/>
          </w:tcPr>
          <w:p w:rsidR="00BB1305" w:rsidRPr="00BB1305" w:rsidRDefault="00BB1305" w:rsidP="005A0A18">
            <w:pPr>
              <w:spacing w:after="40" w:line="240" w:lineRule="auto"/>
              <w:rPr>
                <w:color w:val="000000"/>
                <w:szCs w:val="22"/>
                <w:lang w:eastAsia="en-AU"/>
              </w:rPr>
            </w:pPr>
            <w:r w:rsidRPr="00BB1305">
              <w:rPr>
                <w:color w:val="000000"/>
                <w:szCs w:val="22"/>
                <w:lang w:eastAsia="en-AU"/>
              </w:rPr>
              <w:t>Is irritating</w:t>
            </w:r>
          </w:p>
        </w:tc>
        <w:tc>
          <w:tcPr>
            <w:tcW w:w="1275" w:type="dxa"/>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8%</w:t>
            </w:r>
          </w:p>
        </w:tc>
        <w:tc>
          <w:tcPr>
            <w:tcW w:w="1418" w:type="dxa"/>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10%</w:t>
            </w:r>
          </w:p>
        </w:tc>
      </w:tr>
      <w:tr w:rsidR="00BB1305" w:rsidRPr="00BB1305" w:rsidTr="005A0A18">
        <w:trPr>
          <w:trHeight w:val="300"/>
        </w:trPr>
        <w:tc>
          <w:tcPr>
            <w:tcW w:w="5544" w:type="dxa"/>
            <w:tcBorders>
              <w:bottom w:val="single" w:sz="4" w:space="0" w:color="auto"/>
            </w:tcBorders>
            <w:shd w:val="clear" w:color="auto" w:fill="FFF6D7"/>
            <w:noWrap/>
            <w:vAlign w:val="bottom"/>
            <w:hideMark/>
          </w:tcPr>
          <w:p w:rsidR="00BB1305" w:rsidRPr="00EE2A31" w:rsidRDefault="00BB1305" w:rsidP="005A0A18">
            <w:pPr>
              <w:spacing w:after="0" w:line="240" w:lineRule="auto"/>
              <w:rPr>
                <w:bCs/>
                <w:color w:val="000000" w:themeColor="text1"/>
              </w:rPr>
            </w:pPr>
            <w:r w:rsidRPr="00EE2A31">
              <w:rPr>
                <w:bCs/>
                <w:color w:val="000000" w:themeColor="text1"/>
              </w:rPr>
              <w:t xml:space="preserve">Influence of </w:t>
            </w:r>
            <w:r w:rsidR="00FD20D8" w:rsidRPr="00EE2A31">
              <w:rPr>
                <w:bCs/>
                <w:color w:val="000000" w:themeColor="text1"/>
              </w:rPr>
              <w:t xml:space="preserve"> the Health Star Rating</w:t>
            </w:r>
          </w:p>
        </w:tc>
        <w:tc>
          <w:tcPr>
            <w:tcW w:w="1275" w:type="dxa"/>
            <w:tcBorders>
              <w:bottom w:val="single" w:sz="4" w:space="0" w:color="auto"/>
            </w:tcBorders>
            <w:shd w:val="clear" w:color="auto" w:fill="FFF6D7"/>
            <w:noWrap/>
            <w:vAlign w:val="bottom"/>
            <w:hideMark/>
          </w:tcPr>
          <w:p w:rsidR="00BB1305" w:rsidRPr="00EE2A31" w:rsidRDefault="00BB1305" w:rsidP="005A0A18">
            <w:pPr>
              <w:spacing w:after="0" w:line="240" w:lineRule="auto"/>
              <w:jc w:val="center"/>
              <w:rPr>
                <w:bCs/>
                <w:color w:val="000000" w:themeColor="text1"/>
              </w:rPr>
            </w:pPr>
            <w:r w:rsidRPr="00EE2A31">
              <w:rPr>
                <w:bCs/>
                <w:color w:val="000000" w:themeColor="text1"/>
              </w:rPr>
              <w:t>Total</w:t>
            </w:r>
          </w:p>
        </w:tc>
        <w:tc>
          <w:tcPr>
            <w:tcW w:w="1418" w:type="dxa"/>
            <w:tcBorders>
              <w:bottom w:val="single" w:sz="4" w:space="0" w:color="auto"/>
            </w:tcBorders>
            <w:shd w:val="clear" w:color="auto" w:fill="FFF6D7"/>
            <w:noWrap/>
            <w:vAlign w:val="bottom"/>
            <w:hideMark/>
          </w:tcPr>
          <w:p w:rsidR="00BB1305" w:rsidRPr="00EE2A31" w:rsidRDefault="00BB1305" w:rsidP="005A0A18">
            <w:pPr>
              <w:spacing w:after="0" w:line="240" w:lineRule="auto"/>
              <w:jc w:val="center"/>
              <w:rPr>
                <w:bCs/>
                <w:color w:val="000000" w:themeColor="text1"/>
              </w:rPr>
            </w:pPr>
            <w:r w:rsidRPr="00EE2A31">
              <w:rPr>
                <w:bCs/>
                <w:color w:val="000000" w:themeColor="text1"/>
              </w:rPr>
              <w:t>Seen campaign</w:t>
            </w:r>
          </w:p>
        </w:tc>
      </w:tr>
      <w:tr w:rsidR="00BB1305" w:rsidRPr="00BB1305" w:rsidTr="005A0A18">
        <w:trPr>
          <w:trHeight w:val="454"/>
        </w:trPr>
        <w:tc>
          <w:tcPr>
            <w:tcW w:w="5544" w:type="dxa"/>
            <w:tcBorders>
              <w:top w:val="single" w:sz="4" w:space="0" w:color="auto"/>
            </w:tcBorders>
            <w:shd w:val="clear" w:color="auto" w:fill="auto"/>
            <w:noWrap/>
            <w:vAlign w:val="bottom"/>
            <w:hideMark/>
          </w:tcPr>
          <w:p w:rsidR="00BB1305" w:rsidRPr="00BB1305" w:rsidRDefault="00BB1305" w:rsidP="005A0A18">
            <w:pPr>
              <w:spacing w:after="0" w:line="240" w:lineRule="auto"/>
              <w:rPr>
                <w:color w:val="000000"/>
                <w:szCs w:val="22"/>
                <w:lang w:eastAsia="en-AU"/>
              </w:rPr>
            </w:pPr>
            <w:r w:rsidRPr="00BB1305">
              <w:rPr>
                <w:color w:val="000000"/>
                <w:szCs w:val="22"/>
                <w:lang w:eastAsia="en-AU"/>
              </w:rPr>
              <w:t>Makes me want to buy healthier products</w:t>
            </w:r>
          </w:p>
        </w:tc>
        <w:tc>
          <w:tcPr>
            <w:tcW w:w="1275" w:type="dxa"/>
            <w:tcBorders>
              <w:top w:val="single" w:sz="4" w:space="0" w:color="auto"/>
            </w:tcBorders>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55%</w:t>
            </w:r>
          </w:p>
        </w:tc>
        <w:tc>
          <w:tcPr>
            <w:tcW w:w="1418" w:type="dxa"/>
            <w:tcBorders>
              <w:top w:val="single" w:sz="4" w:space="0" w:color="auto"/>
            </w:tcBorders>
            <w:shd w:val="clear" w:color="auto" w:fill="auto"/>
            <w:noWrap/>
            <w:vAlign w:val="center"/>
            <w:hideMark/>
          </w:tcPr>
          <w:p w:rsidR="00BB1305" w:rsidRPr="00E653FA" w:rsidRDefault="00BB1305" w:rsidP="005A0A18">
            <w:pPr>
              <w:spacing w:after="0" w:line="240" w:lineRule="auto"/>
              <w:jc w:val="center"/>
              <w:rPr>
                <w:b/>
                <w:color w:val="000000"/>
                <w:szCs w:val="22"/>
                <w:lang w:eastAsia="en-AU"/>
              </w:rPr>
            </w:pPr>
            <w:r w:rsidRPr="00E653FA">
              <w:rPr>
                <w:b/>
                <w:color w:val="000000"/>
                <w:szCs w:val="22"/>
                <w:lang w:eastAsia="en-AU"/>
              </w:rPr>
              <w:t>66%</w:t>
            </w:r>
            <w:r w:rsidR="005C5CC3" w:rsidRPr="00E653FA">
              <w:rPr>
                <w:b/>
                <w:color w:val="000000"/>
                <w:szCs w:val="22"/>
                <w:lang w:eastAsia="en-AU"/>
              </w:rPr>
              <w:t>*</w:t>
            </w:r>
          </w:p>
        </w:tc>
      </w:tr>
      <w:tr w:rsidR="00BB1305" w:rsidRPr="00BB1305" w:rsidTr="005A0A18">
        <w:trPr>
          <w:trHeight w:val="454"/>
        </w:trPr>
        <w:tc>
          <w:tcPr>
            <w:tcW w:w="5544" w:type="dxa"/>
            <w:shd w:val="clear" w:color="auto" w:fill="auto"/>
            <w:noWrap/>
            <w:vAlign w:val="bottom"/>
            <w:hideMark/>
          </w:tcPr>
          <w:p w:rsidR="00BB1305" w:rsidRPr="00BB1305" w:rsidRDefault="00BB1305" w:rsidP="005A0A18">
            <w:pPr>
              <w:spacing w:after="0" w:line="240" w:lineRule="auto"/>
              <w:rPr>
                <w:color w:val="000000"/>
                <w:szCs w:val="22"/>
                <w:lang w:eastAsia="en-AU"/>
              </w:rPr>
            </w:pPr>
            <w:r w:rsidRPr="00BB1305">
              <w:rPr>
                <w:color w:val="000000"/>
                <w:szCs w:val="22"/>
                <w:lang w:eastAsia="en-AU"/>
              </w:rPr>
              <w:t>It is aimed at someone like me</w:t>
            </w:r>
          </w:p>
        </w:tc>
        <w:tc>
          <w:tcPr>
            <w:tcW w:w="1275" w:type="dxa"/>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51%</w:t>
            </w:r>
          </w:p>
        </w:tc>
        <w:tc>
          <w:tcPr>
            <w:tcW w:w="1418" w:type="dxa"/>
            <w:shd w:val="clear" w:color="auto" w:fill="auto"/>
            <w:noWrap/>
            <w:vAlign w:val="center"/>
            <w:hideMark/>
          </w:tcPr>
          <w:p w:rsidR="00BB1305" w:rsidRPr="00E653FA" w:rsidRDefault="00BB1305" w:rsidP="005A0A18">
            <w:pPr>
              <w:spacing w:after="0" w:line="240" w:lineRule="auto"/>
              <w:jc w:val="center"/>
              <w:rPr>
                <w:b/>
                <w:color w:val="000000"/>
                <w:szCs w:val="22"/>
                <w:lang w:eastAsia="en-AU"/>
              </w:rPr>
            </w:pPr>
            <w:r w:rsidRPr="00E653FA">
              <w:rPr>
                <w:b/>
                <w:color w:val="000000"/>
                <w:szCs w:val="22"/>
                <w:lang w:eastAsia="en-AU"/>
              </w:rPr>
              <w:t>61%</w:t>
            </w:r>
            <w:r w:rsidR="005C5CC3" w:rsidRPr="00E653FA">
              <w:rPr>
                <w:b/>
                <w:color w:val="000000"/>
                <w:szCs w:val="22"/>
                <w:lang w:eastAsia="en-AU"/>
              </w:rPr>
              <w:t>*</w:t>
            </w:r>
          </w:p>
        </w:tc>
      </w:tr>
      <w:tr w:rsidR="00BB1305" w:rsidRPr="00BB1305" w:rsidTr="005A0A18">
        <w:trPr>
          <w:trHeight w:val="454"/>
        </w:trPr>
        <w:tc>
          <w:tcPr>
            <w:tcW w:w="5544" w:type="dxa"/>
            <w:shd w:val="clear" w:color="auto" w:fill="auto"/>
            <w:noWrap/>
            <w:vAlign w:val="bottom"/>
            <w:hideMark/>
          </w:tcPr>
          <w:p w:rsidR="00BB1305" w:rsidRPr="00BB1305" w:rsidRDefault="00BB1305" w:rsidP="005A0A18">
            <w:pPr>
              <w:spacing w:after="0" w:line="240" w:lineRule="auto"/>
              <w:rPr>
                <w:color w:val="000000"/>
                <w:szCs w:val="22"/>
                <w:lang w:eastAsia="en-AU"/>
              </w:rPr>
            </w:pPr>
            <w:r w:rsidRPr="00BB1305">
              <w:rPr>
                <w:color w:val="000000"/>
                <w:szCs w:val="22"/>
                <w:lang w:eastAsia="en-AU"/>
              </w:rPr>
              <w:t>It is believable</w:t>
            </w:r>
          </w:p>
        </w:tc>
        <w:tc>
          <w:tcPr>
            <w:tcW w:w="1275" w:type="dxa"/>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48%</w:t>
            </w:r>
          </w:p>
        </w:tc>
        <w:tc>
          <w:tcPr>
            <w:tcW w:w="1418" w:type="dxa"/>
            <w:shd w:val="clear" w:color="auto" w:fill="auto"/>
            <w:noWrap/>
            <w:vAlign w:val="center"/>
            <w:hideMark/>
          </w:tcPr>
          <w:p w:rsidR="00BB1305" w:rsidRPr="00E653FA" w:rsidRDefault="00BB1305" w:rsidP="005A0A18">
            <w:pPr>
              <w:spacing w:after="0" w:line="240" w:lineRule="auto"/>
              <w:jc w:val="center"/>
              <w:rPr>
                <w:b/>
                <w:color w:val="000000"/>
                <w:szCs w:val="22"/>
                <w:lang w:eastAsia="en-AU"/>
              </w:rPr>
            </w:pPr>
            <w:r w:rsidRPr="00E653FA">
              <w:rPr>
                <w:b/>
                <w:color w:val="000000"/>
                <w:szCs w:val="22"/>
                <w:lang w:eastAsia="en-AU"/>
              </w:rPr>
              <w:t>65%</w:t>
            </w:r>
            <w:r w:rsidR="005C5CC3" w:rsidRPr="00E653FA">
              <w:rPr>
                <w:b/>
                <w:color w:val="000000"/>
                <w:szCs w:val="22"/>
                <w:lang w:eastAsia="en-AU"/>
              </w:rPr>
              <w:t>*</w:t>
            </w:r>
          </w:p>
        </w:tc>
      </w:tr>
      <w:tr w:rsidR="00BB1305" w:rsidRPr="00BB1305" w:rsidTr="005A0A18">
        <w:trPr>
          <w:trHeight w:val="454"/>
        </w:trPr>
        <w:tc>
          <w:tcPr>
            <w:tcW w:w="5544" w:type="dxa"/>
            <w:shd w:val="clear" w:color="auto" w:fill="auto"/>
            <w:noWrap/>
            <w:vAlign w:val="bottom"/>
            <w:hideMark/>
          </w:tcPr>
          <w:p w:rsidR="00BB1305" w:rsidRPr="00BB1305" w:rsidRDefault="00BB1305" w:rsidP="005A0A18">
            <w:pPr>
              <w:spacing w:after="0" w:line="240" w:lineRule="auto"/>
              <w:rPr>
                <w:color w:val="000000"/>
                <w:szCs w:val="22"/>
                <w:lang w:eastAsia="en-AU"/>
              </w:rPr>
            </w:pPr>
            <w:r w:rsidRPr="00BB1305">
              <w:rPr>
                <w:color w:val="000000"/>
                <w:szCs w:val="22"/>
                <w:lang w:eastAsia="en-AU"/>
              </w:rPr>
              <w:t>Is a system I trust</w:t>
            </w:r>
          </w:p>
        </w:tc>
        <w:tc>
          <w:tcPr>
            <w:tcW w:w="1275" w:type="dxa"/>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37%</w:t>
            </w:r>
          </w:p>
        </w:tc>
        <w:tc>
          <w:tcPr>
            <w:tcW w:w="1418" w:type="dxa"/>
            <w:shd w:val="clear" w:color="auto" w:fill="auto"/>
            <w:noWrap/>
            <w:vAlign w:val="center"/>
            <w:hideMark/>
          </w:tcPr>
          <w:p w:rsidR="00BB1305" w:rsidRPr="00E653FA" w:rsidRDefault="00BB1305" w:rsidP="005A0A18">
            <w:pPr>
              <w:spacing w:after="0" w:line="240" w:lineRule="auto"/>
              <w:jc w:val="center"/>
              <w:rPr>
                <w:b/>
                <w:color w:val="000000"/>
                <w:szCs w:val="22"/>
                <w:lang w:eastAsia="en-AU"/>
              </w:rPr>
            </w:pPr>
            <w:r w:rsidRPr="00E653FA">
              <w:rPr>
                <w:b/>
                <w:color w:val="000000"/>
                <w:szCs w:val="22"/>
                <w:lang w:eastAsia="en-AU"/>
              </w:rPr>
              <w:t>55%</w:t>
            </w:r>
            <w:r w:rsidR="005C5CC3" w:rsidRPr="00E653FA">
              <w:rPr>
                <w:b/>
                <w:color w:val="000000"/>
                <w:szCs w:val="22"/>
                <w:lang w:eastAsia="en-AU"/>
              </w:rPr>
              <w:t>*</w:t>
            </w:r>
          </w:p>
        </w:tc>
      </w:tr>
      <w:tr w:rsidR="00BB1305" w:rsidRPr="00BB1305" w:rsidTr="005A0A18">
        <w:trPr>
          <w:trHeight w:val="454"/>
        </w:trPr>
        <w:tc>
          <w:tcPr>
            <w:tcW w:w="5544" w:type="dxa"/>
            <w:shd w:val="clear" w:color="auto" w:fill="auto"/>
            <w:noWrap/>
            <w:vAlign w:val="bottom"/>
            <w:hideMark/>
          </w:tcPr>
          <w:p w:rsidR="00BB1305" w:rsidRPr="00BB1305" w:rsidRDefault="00BB1305" w:rsidP="005A0A18">
            <w:pPr>
              <w:spacing w:after="0" w:line="240" w:lineRule="auto"/>
              <w:rPr>
                <w:color w:val="000000"/>
                <w:szCs w:val="22"/>
                <w:lang w:eastAsia="en-AU"/>
              </w:rPr>
            </w:pPr>
            <w:r w:rsidRPr="00BB1305">
              <w:rPr>
                <w:color w:val="000000"/>
                <w:szCs w:val="22"/>
                <w:lang w:eastAsia="en-AU"/>
              </w:rPr>
              <w:t>Is independent</w:t>
            </w:r>
          </w:p>
        </w:tc>
        <w:tc>
          <w:tcPr>
            <w:tcW w:w="1275" w:type="dxa"/>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30%</w:t>
            </w:r>
          </w:p>
        </w:tc>
        <w:tc>
          <w:tcPr>
            <w:tcW w:w="1418" w:type="dxa"/>
            <w:shd w:val="clear" w:color="auto" w:fill="auto"/>
            <w:noWrap/>
            <w:vAlign w:val="center"/>
            <w:hideMark/>
          </w:tcPr>
          <w:p w:rsidR="00BB1305" w:rsidRPr="00E653FA" w:rsidRDefault="00BB1305" w:rsidP="005A0A18">
            <w:pPr>
              <w:spacing w:after="0" w:line="240" w:lineRule="auto"/>
              <w:jc w:val="center"/>
              <w:rPr>
                <w:b/>
                <w:color w:val="000000"/>
                <w:szCs w:val="22"/>
                <w:lang w:eastAsia="en-AU"/>
              </w:rPr>
            </w:pPr>
            <w:r w:rsidRPr="00E653FA">
              <w:rPr>
                <w:b/>
                <w:color w:val="000000"/>
                <w:szCs w:val="22"/>
                <w:lang w:eastAsia="en-AU"/>
              </w:rPr>
              <w:t>44%</w:t>
            </w:r>
            <w:r w:rsidR="005C5CC3" w:rsidRPr="00E653FA">
              <w:rPr>
                <w:b/>
                <w:color w:val="000000"/>
                <w:szCs w:val="22"/>
                <w:lang w:eastAsia="en-AU"/>
              </w:rPr>
              <w:t>*</w:t>
            </w:r>
          </w:p>
        </w:tc>
      </w:tr>
      <w:tr w:rsidR="00BB1305" w:rsidRPr="00BB1305" w:rsidTr="005A0A18">
        <w:trPr>
          <w:trHeight w:val="454"/>
        </w:trPr>
        <w:tc>
          <w:tcPr>
            <w:tcW w:w="5544" w:type="dxa"/>
            <w:shd w:val="clear" w:color="auto" w:fill="auto"/>
            <w:noWrap/>
            <w:vAlign w:val="bottom"/>
            <w:hideMark/>
          </w:tcPr>
          <w:p w:rsidR="00BB1305" w:rsidRPr="00BB1305" w:rsidRDefault="00BB1305" w:rsidP="005A0A18">
            <w:pPr>
              <w:spacing w:after="0" w:line="240" w:lineRule="auto"/>
              <w:rPr>
                <w:color w:val="000000"/>
                <w:szCs w:val="22"/>
                <w:lang w:eastAsia="en-AU"/>
              </w:rPr>
            </w:pPr>
            <w:r w:rsidRPr="00BB1305">
              <w:rPr>
                <w:color w:val="000000"/>
                <w:szCs w:val="22"/>
                <w:lang w:eastAsia="en-AU"/>
              </w:rPr>
              <w:t>Encourages me to buy more packaged foods</w:t>
            </w:r>
          </w:p>
        </w:tc>
        <w:tc>
          <w:tcPr>
            <w:tcW w:w="1275" w:type="dxa"/>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17%</w:t>
            </w:r>
          </w:p>
        </w:tc>
        <w:tc>
          <w:tcPr>
            <w:tcW w:w="1418" w:type="dxa"/>
            <w:shd w:val="clear" w:color="auto" w:fill="auto"/>
            <w:noWrap/>
            <w:vAlign w:val="center"/>
            <w:hideMark/>
          </w:tcPr>
          <w:p w:rsidR="00BB1305" w:rsidRPr="00E653FA" w:rsidRDefault="00BB1305" w:rsidP="005A0A18">
            <w:pPr>
              <w:spacing w:after="0" w:line="240" w:lineRule="auto"/>
              <w:jc w:val="center"/>
              <w:rPr>
                <w:b/>
                <w:color w:val="000000"/>
                <w:szCs w:val="22"/>
                <w:lang w:eastAsia="en-AU"/>
              </w:rPr>
            </w:pPr>
            <w:r w:rsidRPr="00E653FA">
              <w:rPr>
                <w:b/>
                <w:color w:val="000000"/>
                <w:szCs w:val="22"/>
                <w:lang w:eastAsia="en-AU"/>
              </w:rPr>
              <w:t>28%</w:t>
            </w:r>
            <w:r w:rsidR="005C5CC3" w:rsidRPr="00E653FA">
              <w:rPr>
                <w:b/>
                <w:color w:val="000000"/>
                <w:szCs w:val="22"/>
                <w:lang w:eastAsia="en-AU"/>
              </w:rPr>
              <w:t>*</w:t>
            </w:r>
          </w:p>
        </w:tc>
      </w:tr>
      <w:tr w:rsidR="00BB1305" w:rsidRPr="00BB1305" w:rsidTr="005A0A18">
        <w:trPr>
          <w:trHeight w:val="454"/>
        </w:trPr>
        <w:tc>
          <w:tcPr>
            <w:tcW w:w="5544" w:type="dxa"/>
            <w:shd w:val="clear" w:color="auto" w:fill="auto"/>
            <w:noWrap/>
            <w:vAlign w:val="bottom"/>
            <w:hideMark/>
          </w:tcPr>
          <w:p w:rsidR="00BB1305" w:rsidRPr="00BB1305" w:rsidRDefault="00BB1305" w:rsidP="005A0A18">
            <w:pPr>
              <w:spacing w:after="0" w:line="240" w:lineRule="auto"/>
              <w:rPr>
                <w:color w:val="000000"/>
                <w:szCs w:val="22"/>
                <w:lang w:eastAsia="en-AU"/>
              </w:rPr>
            </w:pPr>
            <w:r w:rsidRPr="00BB1305">
              <w:rPr>
                <w:color w:val="000000"/>
                <w:szCs w:val="22"/>
                <w:lang w:eastAsia="en-AU"/>
              </w:rPr>
              <w:t>It is not relevant to me</w:t>
            </w:r>
          </w:p>
        </w:tc>
        <w:tc>
          <w:tcPr>
            <w:tcW w:w="1275" w:type="dxa"/>
            <w:shd w:val="clear" w:color="auto" w:fill="auto"/>
            <w:noWrap/>
            <w:vAlign w:val="center"/>
            <w:hideMark/>
          </w:tcPr>
          <w:p w:rsidR="00BB1305" w:rsidRPr="00BB1305" w:rsidRDefault="00BB1305" w:rsidP="005A0A18">
            <w:pPr>
              <w:spacing w:after="0" w:line="240" w:lineRule="auto"/>
              <w:jc w:val="center"/>
              <w:rPr>
                <w:color w:val="000000"/>
                <w:szCs w:val="22"/>
                <w:lang w:eastAsia="en-AU"/>
              </w:rPr>
            </w:pPr>
            <w:r w:rsidRPr="00BB1305">
              <w:rPr>
                <w:color w:val="000000"/>
                <w:szCs w:val="22"/>
                <w:lang w:eastAsia="en-AU"/>
              </w:rPr>
              <w:t>17%</w:t>
            </w:r>
          </w:p>
        </w:tc>
        <w:tc>
          <w:tcPr>
            <w:tcW w:w="1418" w:type="dxa"/>
            <w:shd w:val="clear" w:color="auto" w:fill="auto"/>
            <w:noWrap/>
            <w:vAlign w:val="center"/>
            <w:hideMark/>
          </w:tcPr>
          <w:p w:rsidR="00BB1305" w:rsidRPr="00E653FA" w:rsidRDefault="00BB1305" w:rsidP="005A0A18">
            <w:pPr>
              <w:spacing w:after="0" w:line="240" w:lineRule="auto"/>
              <w:jc w:val="center"/>
              <w:rPr>
                <w:b/>
                <w:color w:val="000000"/>
                <w:szCs w:val="22"/>
                <w:lang w:eastAsia="en-AU"/>
              </w:rPr>
            </w:pPr>
            <w:r w:rsidRPr="00E653FA">
              <w:rPr>
                <w:b/>
                <w:color w:val="000000"/>
                <w:szCs w:val="22"/>
                <w:lang w:eastAsia="en-AU"/>
              </w:rPr>
              <w:t>16%</w:t>
            </w:r>
            <w:r w:rsidR="005C5CC3" w:rsidRPr="00E653FA">
              <w:rPr>
                <w:b/>
                <w:color w:val="000000"/>
                <w:szCs w:val="22"/>
                <w:lang w:eastAsia="en-AU"/>
              </w:rPr>
              <w:t>*</w:t>
            </w:r>
          </w:p>
        </w:tc>
      </w:tr>
    </w:tbl>
    <w:p w:rsidR="002451F9" w:rsidRDefault="002451F9">
      <w:pPr>
        <w:spacing w:after="0" w:line="240" w:lineRule="auto"/>
        <w:rPr>
          <w:sz w:val="20"/>
          <w:szCs w:val="20"/>
        </w:rPr>
      </w:pPr>
    </w:p>
    <w:p w:rsidR="00B26207" w:rsidRPr="007A0132" w:rsidRDefault="007A0132">
      <w:pPr>
        <w:spacing w:after="0" w:line="240" w:lineRule="auto"/>
        <w:rPr>
          <w:sz w:val="20"/>
          <w:szCs w:val="20"/>
        </w:rPr>
      </w:pPr>
      <w:r w:rsidRPr="007A0132">
        <w:rPr>
          <w:sz w:val="20"/>
          <w:szCs w:val="20"/>
        </w:rPr>
        <w:t>Base: All respondents (n=1000).</w:t>
      </w:r>
      <w:r w:rsidR="005C5CC3">
        <w:rPr>
          <w:sz w:val="20"/>
          <w:szCs w:val="20"/>
        </w:rPr>
        <w:t xml:space="preserve"> </w:t>
      </w:r>
      <w:r w:rsidR="005C5CC3" w:rsidRPr="00E653FA">
        <w:rPr>
          <w:b/>
          <w:sz w:val="20"/>
          <w:szCs w:val="20"/>
        </w:rPr>
        <w:t>*</w:t>
      </w:r>
      <w:r w:rsidR="005C5CC3">
        <w:rPr>
          <w:sz w:val="20"/>
          <w:szCs w:val="20"/>
        </w:rPr>
        <w:t xml:space="preserve"> denotes a significantly positive difference at 95% C</w:t>
      </w:r>
      <w:r w:rsidR="00AA6D21">
        <w:rPr>
          <w:sz w:val="20"/>
          <w:szCs w:val="20"/>
        </w:rPr>
        <w:t xml:space="preserve">onfidence </w:t>
      </w:r>
      <w:r w:rsidR="005C5CC3">
        <w:rPr>
          <w:sz w:val="20"/>
          <w:szCs w:val="20"/>
        </w:rPr>
        <w:t>I</w:t>
      </w:r>
      <w:r w:rsidR="00AA6D21">
        <w:rPr>
          <w:sz w:val="20"/>
          <w:szCs w:val="20"/>
        </w:rPr>
        <w:t xml:space="preserve">nterval. </w:t>
      </w:r>
    </w:p>
    <w:p w:rsidR="004371CD" w:rsidRPr="009A6D30" w:rsidRDefault="004371CD" w:rsidP="009A6D30">
      <w:pPr>
        <w:pStyle w:val="Heading2"/>
        <w:rPr>
          <w:rStyle w:val="IntenseReference"/>
          <w:b w:val="0"/>
          <w:bCs/>
          <w:i w:val="0"/>
          <w:smallCaps w:val="0"/>
          <w:spacing w:val="0"/>
        </w:rPr>
      </w:pPr>
      <w:bookmarkStart w:id="38" w:name="_Toc435088782"/>
      <w:r w:rsidRPr="00E377A8">
        <w:rPr>
          <w:rStyle w:val="IntenseReference"/>
          <w:b w:val="0"/>
          <w:bCs/>
          <w:i w:val="0"/>
          <w:smallCaps w:val="0"/>
          <w:color w:val="000000" w:themeColor="text1"/>
          <w:spacing w:val="0"/>
        </w:rPr>
        <w:lastRenderedPageBreak/>
        <w:t>Section summary</w:t>
      </w:r>
      <w:bookmarkEnd w:id="38"/>
    </w:p>
    <w:p w:rsidR="00B26207" w:rsidRPr="00B26207" w:rsidRDefault="00B26207" w:rsidP="00A57791">
      <w:pPr>
        <w:spacing w:line="240" w:lineRule="auto"/>
      </w:pPr>
      <w:r w:rsidRPr="00B26207">
        <w:t>Those who have seen the HSR campaign have a significantly higher awareness and understanding of how to accurately use the system</w:t>
      </w:r>
      <w:r w:rsidR="00953BA6">
        <w:t xml:space="preserve"> at 71% compared to 64%</w:t>
      </w:r>
      <w:r w:rsidRPr="00B26207">
        <w:t>.</w:t>
      </w:r>
    </w:p>
    <w:p w:rsidR="00ED176A" w:rsidRPr="00B26207" w:rsidRDefault="00B26207" w:rsidP="00EE2A31">
      <w:pPr>
        <w:numPr>
          <w:ilvl w:val="0"/>
          <w:numId w:val="5"/>
        </w:numPr>
        <w:spacing w:after="0" w:line="240" w:lineRule="auto"/>
      </w:pPr>
      <w:r w:rsidRPr="00B26207">
        <w:t xml:space="preserve">These people are all significantly more likely to be </w:t>
      </w:r>
      <w:r w:rsidR="00A40A4C">
        <w:t>engag</w:t>
      </w:r>
      <w:r w:rsidR="00A40A4C" w:rsidRPr="00B26207">
        <w:t xml:space="preserve">ed </w:t>
      </w:r>
      <w:r w:rsidRPr="00B26207">
        <w:t xml:space="preserve">with the HSR, having </w:t>
      </w:r>
      <w:r w:rsidR="00917FAB">
        <w:t xml:space="preserve">bought a product with the HSR displayed (73% vs. 43%) </w:t>
      </w:r>
      <w:r w:rsidRPr="00B26207">
        <w:t xml:space="preserve">and sought more information </w:t>
      </w:r>
      <w:r w:rsidR="00917FAB">
        <w:t>via the HSR website (16% vs. 5%), and through discussion</w:t>
      </w:r>
      <w:r w:rsidRPr="00B26207">
        <w:t xml:space="preserve"> </w:t>
      </w:r>
      <w:r w:rsidR="00917FAB">
        <w:t xml:space="preserve">with others (39% vs. 15%) </w:t>
      </w:r>
      <w:r w:rsidRPr="00B26207">
        <w:t>than those who have not seen the campaign.</w:t>
      </w:r>
    </w:p>
    <w:p w:rsidR="00B26207" w:rsidRPr="00B26207" w:rsidRDefault="00B26207" w:rsidP="00B26207">
      <w:pPr>
        <w:spacing w:after="0" w:line="240" w:lineRule="auto"/>
      </w:pPr>
      <w:r w:rsidRPr="00B26207">
        <w:t> </w:t>
      </w:r>
    </w:p>
    <w:p w:rsidR="00B26207" w:rsidRDefault="00B26207" w:rsidP="00B26207">
      <w:pPr>
        <w:spacing w:after="0" w:line="240" w:lineRule="auto"/>
      </w:pPr>
      <w:r w:rsidRPr="00B26207">
        <w:t xml:space="preserve">Among those who have bought a product with a higher HSR rather than their usual product, the majority have continued to buy this new product </w:t>
      </w:r>
      <w:r w:rsidR="00917FAB">
        <w:t>(73%</w:t>
      </w:r>
      <w:r w:rsidR="00BF1986">
        <w:t xml:space="preserve"> of this group</w:t>
      </w:r>
      <w:r w:rsidR="00B5788F">
        <w:t>,</w:t>
      </w:r>
      <w:r w:rsidR="00BF1986">
        <w:t xml:space="preserve"> representing</w:t>
      </w:r>
      <w:r w:rsidR="00B5788F" w:rsidRPr="00B5788F">
        <w:t>10% of the total sample</w:t>
      </w:r>
      <w:r w:rsidR="00917FAB">
        <w:t xml:space="preserve">) </w:t>
      </w:r>
      <w:r w:rsidRPr="00B26207">
        <w:t>– a positive sign of lasting behaviour change. This result is even higher among those who have seen the campaign</w:t>
      </w:r>
      <w:r w:rsidR="00917FAB">
        <w:t xml:space="preserve"> (84%</w:t>
      </w:r>
      <w:r w:rsidR="00B5788F">
        <w:t xml:space="preserve">, </w:t>
      </w:r>
      <w:r w:rsidR="008F63BD">
        <w:t>5%</w:t>
      </w:r>
      <w:r w:rsidR="00B5788F">
        <w:t xml:space="preserve"> of the total sample</w:t>
      </w:r>
      <w:r w:rsidR="00917FAB">
        <w:t>)</w:t>
      </w:r>
      <w:r w:rsidRPr="00B26207">
        <w:t>.</w:t>
      </w:r>
    </w:p>
    <w:p w:rsidR="00DD4CC0" w:rsidRPr="00B26207" w:rsidRDefault="00DD4CC0" w:rsidP="00B26207">
      <w:pPr>
        <w:spacing w:after="0" w:line="240" w:lineRule="auto"/>
      </w:pPr>
    </w:p>
    <w:p w:rsidR="00B26207" w:rsidRPr="00B26207" w:rsidRDefault="00B26207" w:rsidP="00A57791">
      <w:pPr>
        <w:spacing w:line="240" w:lineRule="auto"/>
      </w:pPr>
      <w:r w:rsidRPr="00B26207">
        <w:t xml:space="preserve">The system’s strengths remain its clarity </w:t>
      </w:r>
      <w:r w:rsidR="00917FAB">
        <w:t xml:space="preserve">(70% agree) </w:t>
      </w:r>
      <w:r w:rsidRPr="00B26207">
        <w:t>and ease of understanding</w:t>
      </w:r>
      <w:r w:rsidR="00917FAB">
        <w:t xml:space="preserve"> (66% agree)</w:t>
      </w:r>
      <w:r w:rsidRPr="00B26207">
        <w:t>, with these scores significantly improving among those who saw the campaign</w:t>
      </w:r>
      <w:r w:rsidR="00917FAB">
        <w:t xml:space="preserve"> (76% and 76%, respectively)</w:t>
      </w:r>
      <w:r w:rsidRPr="00B26207">
        <w:t>.</w:t>
      </w:r>
    </w:p>
    <w:p w:rsidR="00ED176A" w:rsidRPr="00B26207" w:rsidRDefault="00B26207" w:rsidP="00EE2A31">
      <w:pPr>
        <w:numPr>
          <w:ilvl w:val="1"/>
          <w:numId w:val="6"/>
        </w:numPr>
        <w:spacing w:after="0" w:line="240" w:lineRule="auto"/>
      </w:pPr>
      <w:r w:rsidRPr="00B26207">
        <w:t xml:space="preserve">Those who have seen the campaign are also considerably more likely to trust </w:t>
      </w:r>
      <w:r w:rsidR="00917FAB">
        <w:t xml:space="preserve">the system (55% vs. 37%) </w:t>
      </w:r>
      <w:r w:rsidRPr="00B26207">
        <w:t xml:space="preserve">and </w:t>
      </w:r>
      <w:r w:rsidR="00917FAB">
        <w:t>find the system believable (65% vs. 48%)</w:t>
      </w:r>
      <w:r w:rsidRPr="00B26207">
        <w:t>, and feel encouraged to make healthier choices</w:t>
      </w:r>
      <w:r w:rsidR="00C128E7">
        <w:t xml:space="preserve"> </w:t>
      </w:r>
      <w:r w:rsidR="00917FAB">
        <w:t>(66% vs. 55%)</w:t>
      </w:r>
      <w:r w:rsidR="00BF1986">
        <w:t xml:space="preserve">. </w:t>
      </w:r>
    </w:p>
    <w:p w:rsidR="004371CD" w:rsidRDefault="004371CD">
      <w:pPr>
        <w:spacing w:after="0" w:line="240" w:lineRule="auto"/>
      </w:pPr>
    </w:p>
    <w:p w:rsidR="004371CD" w:rsidRPr="00E377A8" w:rsidRDefault="004371CD" w:rsidP="009A6D30">
      <w:pPr>
        <w:pStyle w:val="Heading2"/>
      </w:pPr>
      <w:bookmarkStart w:id="39" w:name="_Toc435088783"/>
      <w:r w:rsidRPr="00E377A8">
        <w:rPr>
          <w:rStyle w:val="IntenseReference"/>
          <w:b w:val="0"/>
          <w:bCs/>
          <w:i w:val="0"/>
          <w:smallCaps w:val="0"/>
          <w:color w:val="000000" w:themeColor="text1"/>
          <w:spacing w:val="0"/>
        </w:rPr>
        <w:t>Key Next Step</w:t>
      </w:r>
      <w:bookmarkEnd w:id="39"/>
    </w:p>
    <w:p w:rsidR="005A2ECF" w:rsidRDefault="00A57791">
      <w:pPr>
        <w:spacing w:after="0" w:line="240" w:lineRule="auto"/>
        <w:rPr>
          <w:bCs/>
        </w:rPr>
      </w:pPr>
      <w:r w:rsidRPr="006B02BA">
        <w:rPr>
          <w:bCs/>
        </w:rPr>
        <w:t xml:space="preserve">The expectation that </w:t>
      </w:r>
      <w:r w:rsidR="00010033">
        <w:rPr>
          <w:bCs/>
        </w:rPr>
        <w:t xml:space="preserve">the </w:t>
      </w:r>
      <w:r w:rsidRPr="006B02BA">
        <w:rPr>
          <w:bCs/>
        </w:rPr>
        <w:t xml:space="preserve">HSR </w:t>
      </w:r>
      <w:r w:rsidR="005A2ECF">
        <w:rPr>
          <w:bCs/>
        </w:rPr>
        <w:t xml:space="preserve">can be used for cross-category </w:t>
      </w:r>
      <w:r w:rsidR="005A2ECF" w:rsidRPr="006B02BA">
        <w:rPr>
          <w:bCs/>
        </w:rPr>
        <w:t>comparisons</w:t>
      </w:r>
      <w:r w:rsidRPr="006B02BA">
        <w:rPr>
          <w:bCs/>
        </w:rPr>
        <w:t xml:space="preserve"> will need to be monitored and addressed</w:t>
      </w:r>
      <w:r w:rsidR="00010033">
        <w:rPr>
          <w:bCs/>
        </w:rPr>
        <w:t xml:space="preserve"> to ensure that people understand the intended use of the HSR, and are using it </w:t>
      </w:r>
      <w:r w:rsidR="00314942">
        <w:rPr>
          <w:bCs/>
        </w:rPr>
        <w:t xml:space="preserve">for appropriate comparisons. </w:t>
      </w:r>
      <w:r w:rsidR="00F2282E" w:rsidRPr="006B02BA">
        <w:rPr>
          <w:bCs/>
        </w:rPr>
        <w:t xml:space="preserve">. As awareness of HSR increases, </w:t>
      </w:r>
      <w:r w:rsidR="005A2ECF">
        <w:rPr>
          <w:bCs/>
        </w:rPr>
        <w:t>it will be necessary to communicate</w:t>
      </w:r>
      <w:r w:rsidR="00BD6DF1">
        <w:rPr>
          <w:bCs/>
        </w:rPr>
        <w:t xml:space="preserve"> the </w:t>
      </w:r>
      <w:r w:rsidR="00BD6DF1" w:rsidRPr="00E653FA">
        <w:rPr>
          <w:rStyle w:val="Emphasis"/>
        </w:rPr>
        <w:t>correct</w:t>
      </w:r>
      <w:r w:rsidR="00BD6DF1">
        <w:rPr>
          <w:bCs/>
        </w:rPr>
        <w:t xml:space="preserve"> way to use the system to build confidence and trust</w:t>
      </w:r>
      <w:r w:rsidR="005A0A18">
        <w:rPr>
          <w:bCs/>
        </w:rPr>
        <w:t>,</w:t>
      </w:r>
      <w:r w:rsidR="005A2ECF">
        <w:rPr>
          <w:bCs/>
        </w:rPr>
        <w:t xml:space="preserve"> through optimal channels for </w:t>
      </w:r>
      <w:r w:rsidR="00BD6DF1">
        <w:rPr>
          <w:bCs/>
        </w:rPr>
        <w:t>more nuanced</w:t>
      </w:r>
      <w:r w:rsidR="005A2ECF">
        <w:rPr>
          <w:bCs/>
        </w:rPr>
        <w:t xml:space="preserve"> information</w:t>
      </w:r>
      <w:r w:rsidR="00BD6DF1">
        <w:rPr>
          <w:bCs/>
        </w:rPr>
        <w:t xml:space="preserve"> </w:t>
      </w:r>
      <w:r w:rsidR="005A2ECF">
        <w:rPr>
          <w:bCs/>
        </w:rPr>
        <w:t>such as public relations, social media and social marketing</w:t>
      </w:r>
      <w:r w:rsidR="00BD6DF1">
        <w:rPr>
          <w:bCs/>
        </w:rPr>
        <w:t>.</w:t>
      </w:r>
    </w:p>
    <w:p w:rsidR="00B26207" w:rsidRDefault="00B26207">
      <w:pPr>
        <w:spacing w:after="0" w:line="240" w:lineRule="auto"/>
      </w:pPr>
      <w:r>
        <w:br w:type="page"/>
      </w:r>
    </w:p>
    <w:p w:rsidR="00B26207" w:rsidRDefault="00B26207">
      <w:pPr>
        <w:spacing w:after="0" w:line="240" w:lineRule="auto"/>
        <w:rPr>
          <w:rFonts w:cs="Arial"/>
          <w:bCs/>
          <w:color w:val="872C0F"/>
          <w:kern w:val="28"/>
          <w:sz w:val="30"/>
          <w:szCs w:val="32"/>
          <w:u w:val="single"/>
        </w:rPr>
      </w:pPr>
    </w:p>
    <w:p w:rsidR="003A78DA" w:rsidRPr="009A6D30" w:rsidRDefault="00B53731" w:rsidP="009A6D30">
      <w:pPr>
        <w:pStyle w:val="Heading1"/>
      </w:pPr>
      <w:bookmarkStart w:id="40" w:name="_Toc435088784"/>
      <w:r w:rsidRPr="009A6D30">
        <w:t>Conclusion</w:t>
      </w:r>
      <w:bookmarkEnd w:id="34"/>
      <w:bookmarkEnd w:id="40"/>
      <w:r w:rsidRPr="00B53731">
        <w:rPr>
          <w:u w:val="none"/>
        </w:rPr>
        <w:tab/>
      </w:r>
    </w:p>
    <w:p w:rsidR="00576335" w:rsidRPr="00314942" w:rsidRDefault="00576335" w:rsidP="005A0A18">
      <w:pPr>
        <w:numPr>
          <w:ilvl w:val="0"/>
          <w:numId w:val="1"/>
        </w:numPr>
        <w:tabs>
          <w:tab w:val="left" w:pos="720"/>
          <w:tab w:val="left" w:pos="1440"/>
          <w:tab w:val="left" w:pos="2160"/>
          <w:tab w:val="left" w:pos="2880"/>
        </w:tabs>
        <w:spacing w:after="240" w:line="240" w:lineRule="auto"/>
        <w:ind w:left="714" w:hanging="357"/>
        <w:rPr>
          <w:rFonts w:cs="Arial"/>
          <w:szCs w:val="22"/>
        </w:rPr>
      </w:pPr>
      <w:r w:rsidRPr="00314942">
        <w:rPr>
          <w:rFonts w:cs="Arial"/>
          <w:szCs w:val="22"/>
        </w:rPr>
        <w:t xml:space="preserve">Results in this report are from the HSR campaign evaluation survey conducted in September 2015. The survey included questions in common with the HSR campaign evaluation (benchmark) survey (conducted in September 2014), and the HSR usage and understanding survey (April 2015). Where relevant, results from the surveys have been compared. </w:t>
      </w:r>
    </w:p>
    <w:p w:rsidR="00B90FFF" w:rsidRPr="005A0A18" w:rsidRDefault="008C3D73" w:rsidP="005A0A18">
      <w:pPr>
        <w:numPr>
          <w:ilvl w:val="0"/>
          <w:numId w:val="1"/>
        </w:numPr>
        <w:tabs>
          <w:tab w:val="left" w:pos="720"/>
          <w:tab w:val="left" w:pos="1440"/>
          <w:tab w:val="left" w:pos="2160"/>
          <w:tab w:val="left" w:pos="2880"/>
        </w:tabs>
        <w:spacing w:after="240" w:line="240" w:lineRule="auto"/>
        <w:ind w:left="714" w:hanging="357"/>
        <w:rPr>
          <w:rFonts w:cs="Arial"/>
          <w:szCs w:val="22"/>
        </w:rPr>
      </w:pPr>
      <w:r w:rsidRPr="007D625D">
        <w:rPr>
          <w:rFonts w:cs="Arial"/>
          <w:szCs w:val="22"/>
        </w:rPr>
        <w:t xml:space="preserve">1 in 5 Australians have seen the </w:t>
      </w:r>
      <w:r w:rsidRPr="005A0A18">
        <w:rPr>
          <w:rFonts w:cs="Arial"/>
          <w:szCs w:val="22"/>
        </w:rPr>
        <w:t>HSR campaign</w:t>
      </w:r>
      <w:r w:rsidR="00822D79" w:rsidRPr="005A0A18">
        <w:rPr>
          <w:rFonts w:cs="Arial"/>
          <w:szCs w:val="22"/>
        </w:rPr>
        <w:t>.</w:t>
      </w:r>
    </w:p>
    <w:p w:rsidR="00B90FFF" w:rsidRPr="00D57DD5" w:rsidRDefault="00B90FFF" w:rsidP="00EE2A31">
      <w:pPr>
        <w:numPr>
          <w:ilvl w:val="0"/>
          <w:numId w:val="1"/>
        </w:numPr>
        <w:tabs>
          <w:tab w:val="left" w:pos="720"/>
          <w:tab w:val="left" w:pos="1440"/>
          <w:tab w:val="left" w:pos="2160"/>
          <w:tab w:val="left" w:pos="2880"/>
        </w:tabs>
        <w:spacing w:after="240" w:line="240" w:lineRule="auto"/>
        <w:ind w:left="714" w:hanging="357"/>
        <w:rPr>
          <w:rFonts w:cs="Arial"/>
          <w:szCs w:val="22"/>
        </w:rPr>
      </w:pPr>
      <w:r w:rsidRPr="00E653FA">
        <w:rPr>
          <w:rFonts w:cs="Arial"/>
          <w:szCs w:val="22"/>
        </w:rPr>
        <w:t>Overall impact of the campaign has been positive</w:t>
      </w:r>
      <w:r w:rsidRPr="00BD6DF1">
        <w:rPr>
          <w:rFonts w:cs="Arial"/>
          <w:szCs w:val="22"/>
        </w:rPr>
        <w:t xml:space="preserve"> with significantly higher awareness, un</w:t>
      </w:r>
      <w:r w:rsidRPr="00D57DD5">
        <w:rPr>
          <w:rFonts w:cs="Arial"/>
          <w:szCs w:val="22"/>
        </w:rPr>
        <w:t xml:space="preserve">derstanding and trust of the </w:t>
      </w:r>
      <w:r w:rsidR="00314942">
        <w:rPr>
          <w:rFonts w:cs="Arial"/>
          <w:szCs w:val="22"/>
        </w:rPr>
        <w:t xml:space="preserve">HSR </w:t>
      </w:r>
      <w:r w:rsidRPr="00D57DD5">
        <w:rPr>
          <w:rFonts w:cs="Arial"/>
          <w:szCs w:val="22"/>
        </w:rPr>
        <w:t>system among campaign recognisers.</w:t>
      </w:r>
    </w:p>
    <w:p w:rsidR="002B3268" w:rsidRPr="005A2ECF" w:rsidRDefault="008C3D73" w:rsidP="00EE2A31">
      <w:pPr>
        <w:numPr>
          <w:ilvl w:val="0"/>
          <w:numId w:val="1"/>
        </w:numPr>
        <w:tabs>
          <w:tab w:val="left" w:pos="720"/>
          <w:tab w:val="left" w:pos="1440"/>
          <w:tab w:val="left" w:pos="2160"/>
          <w:tab w:val="left" w:pos="2880"/>
        </w:tabs>
        <w:spacing w:after="240" w:line="240" w:lineRule="auto"/>
        <w:ind w:left="714" w:hanging="357"/>
        <w:rPr>
          <w:rFonts w:cs="Arial"/>
          <w:bCs/>
          <w:szCs w:val="22"/>
        </w:rPr>
      </w:pPr>
      <w:r w:rsidRPr="00E653FA">
        <w:rPr>
          <w:rFonts w:cs="Arial"/>
          <w:bCs/>
          <w:szCs w:val="22"/>
        </w:rPr>
        <w:t>The campaign executions are clear, easy to understand and informative</w:t>
      </w:r>
      <w:r w:rsidRPr="00281DE8">
        <w:rPr>
          <w:rFonts w:cs="Arial"/>
          <w:bCs/>
          <w:szCs w:val="22"/>
        </w:rPr>
        <w:t>.</w:t>
      </w:r>
      <w:r w:rsidR="00B90FFF" w:rsidRPr="00281DE8">
        <w:rPr>
          <w:rFonts w:cs="Arial"/>
          <w:bCs/>
          <w:szCs w:val="22"/>
        </w:rPr>
        <w:t xml:space="preserve"> Noting that the campaign </w:t>
      </w:r>
      <w:r w:rsidR="00BD6DF1">
        <w:rPr>
          <w:rFonts w:cs="Arial"/>
          <w:bCs/>
          <w:szCs w:val="22"/>
        </w:rPr>
        <w:t>ran</w:t>
      </w:r>
      <w:r w:rsidR="005A2ECF">
        <w:rPr>
          <w:rFonts w:cs="Arial"/>
          <w:bCs/>
          <w:szCs w:val="22"/>
        </w:rPr>
        <w:t xml:space="preserve"> in </w:t>
      </w:r>
      <w:r w:rsidR="00B90FFF" w:rsidRPr="005A2ECF">
        <w:rPr>
          <w:rFonts w:cs="Arial"/>
          <w:bCs/>
          <w:szCs w:val="22"/>
        </w:rPr>
        <w:t>a highly competitive com</w:t>
      </w:r>
      <w:r w:rsidR="005A2ECF">
        <w:rPr>
          <w:rFonts w:cs="Arial"/>
          <w:bCs/>
          <w:szCs w:val="22"/>
        </w:rPr>
        <w:t xml:space="preserve">mercial environment with a </w:t>
      </w:r>
      <w:r w:rsidR="00BD6DF1">
        <w:rPr>
          <w:rFonts w:cs="Arial"/>
          <w:bCs/>
          <w:szCs w:val="22"/>
        </w:rPr>
        <w:t>modest</w:t>
      </w:r>
      <w:r w:rsidR="005A2ECF">
        <w:rPr>
          <w:rFonts w:cs="Arial"/>
          <w:bCs/>
          <w:szCs w:val="22"/>
        </w:rPr>
        <w:t xml:space="preserve"> budget</w:t>
      </w:r>
      <w:r w:rsidR="00BD6DF1">
        <w:rPr>
          <w:rFonts w:cs="Arial"/>
          <w:bCs/>
          <w:szCs w:val="22"/>
        </w:rPr>
        <w:t xml:space="preserve"> and no television advertising</w:t>
      </w:r>
      <w:r w:rsidR="005A2ECF">
        <w:rPr>
          <w:rFonts w:cs="Arial"/>
          <w:bCs/>
          <w:szCs w:val="22"/>
        </w:rPr>
        <w:t xml:space="preserve">, </w:t>
      </w:r>
      <w:r w:rsidR="00B90FFF" w:rsidRPr="005A2ECF">
        <w:rPr>
          <w:rFonts w:cs="Arial"/>
          <w:bCs/>
          <w:szCs w:val="22"/>
        </w:rPr>
        <w:t xml:space="preserve">an enduring and multifaceted approach is </w:t>
      </w:r>
      <w:r w:rsidR="00281DE8" w:rsidRPr="005A2ECF">
        <w:rPr>
          <w:rFonts w:cs="Arial"/>
          <w:bCs/>
          <w:szCs w:val="22"/>
        </w:rPr>
        <w:t xml:space="preserve">required to </w:t>
      </w:r>
      <w:r w:rsidR="005A2ECF">
        <w:rPr>
          <w:rFonts w:cs="Arial"/>
          <w:bCs/>
          <w:szCs w:val="22"/>
        </w:rPr>
        <w:t xml:space="preserve">not only </w:t>
      </w:r>
      <w:r w:rsidR="00314942">
        <w:rPr>
          <w:rFonts w:cs="Arial"/>
          <w:bCs/>
          <w:szCs w:val="22"/>
        </w:rPr>
        <w:t>build</w:t>
      </w:r>
      <w:r w:rsidR="00314942" w:rsidRPr="005A2ECF">
        <w:rPr>
          <w:rFonts w:cs="Arial"/>
          <w:bCs/>
          <w:szCs w:val="22"/>
        </w:rPr>
        <w:t xml:space="preserve"> </w:t>
      </w:r>
      <w:r w:rsidR="00B90FFF" w:rsidRPr="005A2ECF">
        <w:rPr>
          <w:rFonts w:cs="Arial"/>
          <w:bCs/>
          <w:szCs w:val="22"/>
        </w:rPr>
        <w:t xml:space="preserve">awareness </w:t>
      </w:r>
      <w:r w:rsidR="005A2ECF">
        <w:rPr>
          <w:rFonts w:cs="Arial"/>
          <w:bCs/>
          <w:szCs w:val="22"/>
        </w:rPr>
        <w:t xml:space="preserve">of the HSR, but also to </w:t>
      </w:r>
      <w:r w:rsidR="00B90FFF" w:rsidRPr="005A2ECF">
        <w:rPr>
          <w:rFonts w:cs="Arial"/>
          <w:bCs/>
          <w:szCs w:val="22"/>
        </w:rPr>
        <w:t xml:space="preserve">ensure understanding </w:t>
      </w:r>
      <w:r w:rsidR="005A2ECF">
        <w:rPr>
          <w:rFonts w:cs="Arial"/>
          <w:bCs/>
          <w:szCs w:val="22"/>
        </w:rPr>
        <w:t xml:space="preserve">and trust </w:t>
      </w:r>
      <w:r w:rsidR="00B90FFF" w:rsidRPr="005A2ECF">
        <w:rPr>
          <w:rFonts w:cs="Arial"/>
          <w:bCs/>
          <w:szCs w:val="22"/>
        </w:rPr>
        <w:t xml:space="preserve">of </w:t>
      </w:r>
      <w:r w:rsidR="005A2ECF">
        <w:rPr>
          <w:rFonts w:cs="Arial"/>
          <w:bCs/>
          <w:szCs w:val="22"/>
        </w:rPr>
        <w:t xml:space="preserve">the </w:t>
      </w:r>
      <w:r w:rsidR="00B90FFF" w:rsidRPr="005A2ECF">
        <w:rPr>
          <w:rFonts w:cs="Arial"/>
          <w:bCs/>
          <w:szCs w:val="22"/>
        </w:rPr>
        <w:t>HSR</w:t>
      </w:r>
      <w:r w:rsidR="0067309A" w:rsidRPr="005A2ECF">
        <w:rPr>
          <w:rFonts w:cs="Arial"/>
          <w:bCs/>
          <w:szCs w:val="22"/>
        </w:rPr>
        <w:t>.</w:t>
      </w:r>
    </w:p>
    <w:p w:rsidR="002B3268" w:rsidRPr="008C3D73" w:rsidRDefault="00314942" w:rsidP="00EE2A31">
      <w:pPr>
        <w:numPr>
          <w:ilvl w:val="0"/>
          <w:numId w:val="1"/>
        </w:numPr>
        <w:tabs>
          <w:tab w:val="left" w:pos="720"/>
          <w:tab w:val="left" w:pos="1440"/>
          <w:tab w:val="left" w:pos="2160"/>
          <w:tab w:val="left" w:pos="2880"/>
        </w:tabs>
        <w:spacing w:after="240" w:line="240" w:lineRule="auto"/>
        <w:ind w:left="714" w:hanging="357"/>
        <w:rPr>
          <w:rFonts w:cs="Arial"/>
          <w:szCs w:val="22"/>
        </w:rPr>
      </w:pPr>
      <w:r>
        <w:rPr>
          <w:rFonts w:cs="Arial"/>
          <w:szCs w:val="22"/>
        </w:rPr>
        <w:t>The majority of respondents</w:t>
      </w:r>
      <w:r w:rsidR="008C3D73" w:rsidRPr="00E653FA">
        <w:rPr>
          <w:rFonts w:cs="Arial"/>
          <w:szCs w:val="22"/>
        </w:rPr>
        <w:t xml:space="preserve"> do not know who is behind this campaign</w:t>
      </w:r>
      <w:r w:rsidR="008C3D73" w:rsidRPr="00BD6DF1">
        <w:rPr>
          <w:rFonts w:cs="Arial"/>
          <w:szCs w:val="22"/>
        </w:rPr>
        <w:t xml:space="preserve"> –</w:t>
      </w:r>
      <w:r w:rsidR="008C3D73" w:rsidRPr="008C3D73">
        <w:rPr>
          <w:rFonts w:cs="Arial"/>
          <w:szCs w:val="22"/>
        </w:rPr>
        <w:t>few say ‘government’, most say ‘don’t know’</w:t>
      </w:r>
      <w:r w:rsidR="00015B1B">
        <w:rPr>
          <w:rFonts w:cs="Arial"/>
          <w:szCs w:val="22"/>
        </w:rPr>
        <w:t xml:space="preserve">. </w:t>
      </w:r>
      <w:r w:rsidR="00B90FFF">
        <w:rPr>
          <w:rFonts w:cs="Arial"/>
          <w:szCs w:val="22"/>
        </w:rPr>
        <w:t>It wi</w:t>
      </w:r>
      <w:r w:rsidR="0067309A">
        <w:rPr>
          <w:rFonts w:cs="Arial"/>
          <w:szCs w:val="22"/>
        </w:rPr>
        <w:t>ll</w:t>
      </w:r>
      <w:r w:rsidR="00B90FFF">
        <w:rPr>
          <w:rFonts w:cs="Arial"/>
          <w:szCs w:val="22"/>
        </w:rPr>
        <w:t xml:space="preserve"> be important that future</w:t>
      </w:r>
      <w:r w:rsidR="0067309A">
        <w:rPr>
          <w:rFonts w:cs="Arial"/>
          <w:szCs w:val="22"/>
        </w:rPr>
        <w:t xml:space="preserve"> communications can re-iterate that </w:t>
      </w:r>
      <w:r>
        <w:rPr>
          <w:rFonts w:cs="Arial"/>
          <w:szCs w:val="22"/>
        </w:rPr>
        <w:t xml:space="preserve">the </w:t>
      </w:r>
      <w:r w:rsidR="0067309A">
        <w:rPr>
          <w:rFonts w:cs="Arial"/>
          <w:szCs w:val="22"/>
        </w:rPr>
        <w:t xml:space="preserve">HSR is endorsed by Government as this will build </w:t>
      </w:r>
      <w:r w:rsidR="00261C85">
        <w:rPr>
          <w:rFonts w:cs="Arial"/>
          <w:szCs w:val="22"/>
        </w:rPr>
        <w:t>trust;</w:t>
      </w:r>
      <w:r w:rsidR="0067309A">
        <w:rPr>
          <w:rFonts w:cs="Arial"/>
          <w:szCs w:val="22"/>
        </w:rPr>
        <w:t xml:space="preserve"> however, it is equally important that the public is made aware that the HSR is </w:t>
      </w:r>
      <w:r w:rsidR="00822D79">
        <w:rPr>
          <w:rFonts w:cs="Arial"/>
          <w:szCs w:val="22"/>
        </w:rPr>
        <w:t xml:space="preserve">a </w:t>
      </w:r>
      <w:r w:rsidR="0067309A">
        <w:rPr>
          <w:rFonts w:cs="Arial"/>
          <w:szCs w:val="22"/>
        </w:rPr>
        <w:t xml:space="preserve">joint initiative. </w:t>
      </w:r>
    </w:p>
    <w:p w:rsidR="00281DE8" w:rsidRDefault="00B90FFF" w:rsidP="005A0A18">
      <w:pPr>
        <w:numPr>
          <w:ilvl w:val="0"/>
          <w:numId w:val="1"/>
        </w:numPr>
        <w:tabs>
          <w:tab w:val="left" w:pos="720"/>
          <w:tab w:val="left" w:pos="1440"/>
          <w:tab w:val="left" w:pos="2160"/>
          <w:tab w:val="left" w:pos="2880"/>
        </w:tabs>
        <w:spacing w:after="240" w:line="240" w:lineRule="auto"/>
        <w:ind w:left="714" w:hanging="357"/>
        <w:rPr>
          <w:rFonts w:cs="Arial"/>
          <w:szCs w:val="22"/>
        </w:rPr>
      </w:pPr>
      <w:r w:rsidRPr="00281DE8">
        <w:rPr>
          <w:rFonts w:cs="Arial"/>
          <w:szCs w:val="22"/>
        </w:rPr>
        <w:t>T</w:t>
      </w:r>
      <w:r w:rsidR="008C3D73" w:rsidRPr="00281DE8">
        <w:rPr>
          <w:rFonts w:cs="Arial"/>
          <w:szCs w:val="22"/>
        </w:rPr>
        <w:t xml:space="preserve">here </w:t>
      </w:r>
      <w:r w:rsidR="0067309A" w:rsidRPr="00281DE8">
        <w:rPr>
          <w:rFonts w:cs="Arial"/>
          <w:szCs w:val="22"/>
        </w:rPr>
        <w:t xml:space="preserve">appears to be </w:t>
      </w:r>
      <w:r w:rsidR="008C3D73" w:rsidRPr="00281DE8">
        <w:rPr>
          <w:rFonts w:cs="Arial"/>
          <w:szCs w:val="22"/>
        </w:rPr>
        <w:t>some confusion</w:t>
      </w:r>
      <w:r w:rsidR="0067309A" w:rsidRPr="00281DE8">
        <w:rPr>
          <w:rFonts w:cs="Arial"/>
          <w:szCs w:val="22"/>
        </w:rPr>
        <w:t xml:space="preserve"> around correct usage of</w:t>
      </w:r>
      <w:r w:rsidR="00822D79">
        <w:rPr>
          <w:rFonts w:cs="Arial"/>
          <w:szCs w:val="22"/>
        </w:rPr>
        <w:t xml:space="preserve"> the</w:t>
      </w:r>
      <w:r w:rsidR="0067309A" w:rsidRPr="00281DE8">
        <w:rPr>
          <w:rFonts w:cs="Arial"/>
          <w:szCs w:val="22"/>
        </w:rPr>
        <w:t xml:space="preserve"> HSR</w:t>
      </w:r>
      <w:r w:rsidR="00281DE8">
        <w:rPr>
          <w:rFonts w:cs="Arial"/>
          <w:szCs w:val="22"/>
        </w:rPr>
        <w:t>.</w:t>
      </w:r>
      <w:r w:rsidR="0067309A" w:rsidRPr="00281DE8">
        <w:rPr>
          <w:rFonts w:cs="Arial"/>
          <w:szCs w:val="22"/>
        </w:rPr>
        <w:t xml:space="preserve"> </w:t>
      </w:r>
      <w:r w:rsidR="00281DE8">
        <w:rPr>
          <w:rFonts w:cs="Arial"/>
          <w:szCs w:val="22"/>
        </w:rPr>
        <w:t>T</w:t>
      </w:r>
      <w:r w:rsidR="0067309A" w:rsidRPr="00281DE8">
        <w:rPr>
          <w:rFonts w:cs="Arial"/>
          <w:szCs w:val="22"/>
        </w:rPr>
        <w:t>his potential confusion</w:t>
      </w:r>
      <w:r w:rsidRPr="00281DE8">
        <w:rPr>
          <w:rFonts w:cs="Arial"/>
          <w:szCs w:val="22"/>
        </w:rPr>
        <w:t xml:space="preserve"> should be addressed in future marketing and public relations activities</w:t>
      </w:r>
      <w:r w:rsidR="0067309A" w:rsidRPr="00281DE8">
        <w:rPr>
          <w:rFonts w:cs="Arial"/>
          <w:szCs w:val="22"/>
        </w:rPr>
        <w:t xml:space="preserve"> to ensure that </w:t>
      </w:r>
      <w:r w:rsidR="00822D79">
        <w:rPr>
          <w:rFonts w:cs="Arial"/>
          <w:szCs w:val="22"/>
        </w:rPr>
        <w:t xml:space="preserve">the </w:t>
      </w:r>
      <w:r w:rsidR="0067309A" w:rsidRPr="00281DE8">
        <w:rPr>
          <w:rFonts w:cs="Arial"/>
          <w:szCs w:val="22"/>
        </w:rPr>
        <w:t>HSR is being used as intended</w:t>
      </w:r>
      <w:r w:rsidRPr="00281DE8">
        <w:rPr>
          <w:rFonts w:cs="Arial"/>
          <w:szCs w:val="22"/>
        </w:rPr>
        <w:t>.</w:t>
      </w:r>
      <w:r w:rsidR="008C3D73" w:rsidRPr="00281DE8">
        <w:rPr>
          <w:rFonts w:cs="Arial"/>
          <w:szCs w:val="22"/>
        </w:rPr>
        <w:t xml:space="preserve"> </w:t>
      </w:r>
    </w:p>
    <w:p w:rsidR="00B26207" w:rsidRPr="00B90FFF" w:rsidRDefault="003D14A9" w:rsidP="00EE2A31">
      <w:pPr>
        <w:numPr>
          <w:ilvl w:val="0"/>
          <w:numId w:val="1"/>
        </w:numPr>
        <w:tabs>
          <w:tab w:val="left" w:pos="720"/>
          <w:tab w:val="left" w:pos="1440"/>
          <w:tab w:val="left" w:pos="2160"/>
          <w:tab w:val="left" w:pos="2880"/>
        </w:tabs>
        <w:spacing w:after="0" w:line="240" w:lineRule="auto"/>
        <w:ind w:left="714" w:hanging="357"/>
        <w:rPr>
          <w:rFonts w:cs="Arial"/>
          <w:szCs w:val="22"/>
        </w:rPr>
      </w:pPr>
      <w:r>
        <w:rPr>
          <w:rFonts w:cs="Arial"/>
          <w:szCs w:val="22"/>
        </w:rPr>
        <w:t xml:space="preserve">The campaign has </w:t>
      </w:r>
      <w:r w:rsidR="00C24B46">
        <w:rPr>
          <w:rFonts w:cs="Arial"/>
          <w:szCs w:val="22"/>
        </w:rPr>
        <w:t xml:space="preserve">helped drive positive, lasting </w:t>
      </w:r>
      <w:r>
        <w:rPr>
          <w:rFonts w:cs="Arial"/>
          <w:szCs w:val="22"/>
        </w:rPr>
        <w:t>behaviour change</w:t>
      </w:r>
      <w:r w:rsidR="00C24B46">
        <w:rPr>
          <w:rFonts w:cs="Arial"/>
          <w:szCs w:val="22"/>
        </w:rPr>
        <w:t>, with 47% of those who saw the campaign buying a product with a higher HSR than their usual product, and 84% continuing to buy this new product.</w:t>
      </w:r>
      <w:r w:rsidR="00B2582B">
        <w:rPr>
          <w:rFonts w:cs="Arial"/>
          <w:szCs w:val="22"/>
        </w:rPr>
        <w:t xml:space="preserve"> </w:t>
      </w:r>
      <w:r w:rsidR="00B2582B">
        <w:t xml:space="preserve">Given the HSR is currently on relatively few items in supermarkets, this level of uptake strongly suggests the </w:t>
      </w:r>
      <w:r w:rsidR="00B2582B" w:rsidRPr="00FF1DCB">
        <w:t>HSR is crea</w:t>
      </w:r>
      <w:r w:rsidR="00B2582B">
        <w:t>t</w:t>
      </w:r>
      <w:r w:rsidR="00B2582B" w:rsidRPr="00FF1DCB">
        <w:t>ing</w:t>
      </w:r>
      <w:r w:rsidR="00B2582B">
        <w:t xml:space="preserve"> positive behaviour change among Australian grocery buyers.</w:t>
      </w:r>
    </w:p>
    <w:sectPr w:rsidR="00B26207" w:rsidRPr="00B90FFF" w:rsidSect="00B173A2">
      <w:headerReference w:type="default" r:id="rId33"/>
      <w:footerReference w:type="default" r:id="rId34"/>
      <w:type w:val="continuous"/>
      <w:pgSz w:w="11906" w:h="16838"/>
      <w:pgMar w:top="1440" w:right="2125" w:bottom="1440" w:left="1800" w:header="708" w:footer="708" w:gutter="0"/>
      <w:pgNumType w:start="2"/>
      <w:cols w:space="170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A7A" w:rsidRDefault="00877A7A" w:rsidP="00EC3ECD">
      <w:pPr>
        <w:spacing w:after="0"/>
      </w:pPr>
      <w:r>
        <w:separator/>
      </w:r>
    </w:p>
  </w:endnote>
  <w:endnote w:type="continuationSeparator" w:id="0">
    <w:p w:rsidR="00877A7A" w:rsidRDefault="00877A7A" w:rsidP="00EC3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F8B" w:rsidRDefault="00690F8B" w:rsidP="00EC3ECD">
    <w:pPr>
      <w:pStyle w:val="Footer"/>
      <w:jc w:val="center"/>
    </w:pPr>
    <w:r>
      <w:rPr>
        <w:noProof/>
        <w:lang w:eastAsia="en-AU"/>
      </w:rPr>
      <w:drawing>
        <wp:inline distT="0" distB="0" distL="0" distR="0" wp14:anchorId="6319C92E" wp14:editId="6F47C412">
          <wp:extent cx="1794689" cy="527419"/>
          <wp:effectExtent l="0" t="0" r="0" b="6350"/>
          <wp:docPr id="8" name="Picture 8" title="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llinate\2. Clients\Department of Health\12262 Project Star\Fieldwork\Stimulus\FA_Pollinate_01_RGB_Black.png"/>
                  <pic:cNvPicPr>
                    <a:picLocks noChangeAspect="1" noChangeArrowheads="1"/>
                  </pic:cNvPicPr>
                </pic:nvPicPr>
                <pic:blipFill rotWithShape="1">
                  <a:blip r:embed="rId1">
                    <a:extLst>
                      <a:ext uri="{28A0092B-C50C-407E-A947-70E740481C1C}">
                        <a14:useLocalDpi xmlns:a14="http://schemas.microsoft.com/office/drawing/2010/main" val="0"/>
                      </a:ext>
                    </a:extLst>
                  </a:blip>
                  <a:srcRect l="9672" t="23109" r="10000" b="22338"/>
                  <a:stretch/>
                </pic:blipFill>
                <pic:spPr bwMode="auto">
                  <a:xfrm>
                    <a:off x="0" y="0"/>
                    <a:ext cx="1788121" cy="525489"/>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F8B" w:rsidRDefault="00690F8B" w:rsidP="00EC3ECD">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F8B" w:rsidRDefault="00690F8B">
    <w:pPr>
      <w:pStyle w:val="Footer"/>
      <w:jc w:val="right"/>
    </w:pPr>
    <w:r>
      <w:rPr>
        <w:noProof/>
        <w:lang w:eastAsia="en-AU"/>
      </w:rPr>
      <w:drawing>
        <wp:inline distT="0" distB="0" distL="0" distR="0" wp14:anchorId="25ABE0D5" wp14:editId="4DDD15EF">
          <wp:extent cx="839972" cy="246849"/>
          <wp:effectExtent l="0" t="0" r="0" b="1270"/>
          <wp:docPr id="30" name="Picture 30" title="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llinate\2. Clients\Department of Health\12262 Project Star\Fieldwork\Stimulus\FA_Pollinate_01_RGB_Black.png"/>
                  <pic:cNvPicPr>
                    <a:picLocks noChangeAspect="1" noChangeArrowheads="1"/>
                  </pic:cNvPicPr>
                </pic:nvPicPr>
                <pic:blipFill rotWithShape="1">
                  <a:blip r:embed="rId1">
                    <a:extLst>
                      <a:ext uri="{28A0092B-C50C-407E-A947-70E740481C1C}">
                        <a14:useLocalDpi xmlns:a14="http://schemas.microsoft.com/office/drawing/2010/main" val="0"/>
                      </a:ext>
                    </a:extLst>
                  </a:blip>
                  <a:srcRect l="9672" t="23109" r="10000" b="22338"/>
                  <a:stretch/>
                </pic:blipFill>
                <pic:spPr bwMode="auto">
                  <a:xfrm>
                    <a:off x="0" y="0"/>
                    <a:ext cx="836363" cy="24578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A7A" w:rsidRDefault="00877A7A" w:rsidP="00EC3ECD">
      <w:pPr>
        <w:spacing w:after="0"/>
      </w:pPr>
      <w:r>
        <w:separator/>
      </w:r>
    </w:p>
  </w:footnote>
  <w:footnote w:type="continuationSeparator" w:id="0">
    <w:p w:rsidR="00877A7A" w:rsidRDefault="00877A7A" w:rsidP="00EC3ECD">
      <w:pPr>
        <w:spacing w:after="0"/>
      </w:pPr>
      <w:r>
        <w:continuationSeparator/>
      </w:r>
    </w:p>
  </w:footnote>
  <w:footnote w:id="1">
    <w:p w:rsidR="00690F8B" w:rsidRDefault="00690F8B" w:rsidP="005B2A87">
      <w:pPr>
        <w:spacing w:after="0" w:line="240" w:lineRule="auto"/>
      </w:pPr>
      <w:r>
        <w:rPr>
          <w:rStyle w:val="FootnoteReference"/>
        </w:rPr>
        <w:footnoteRef/>
      </w:r>
      <w:r>
        <w:t xml:space="preserve"> </w:t>
      </w:r>
      <w:r w:rsidRPr="00A352BA">
        <w:rPr>
          <w:color w:val="404040" w:themeColor="text1" w:themeTint="BF"/>
          <w:sz w:val="18"/>
          <w:szCs w:val="18"/>
        </w:rPr>
        <w:t>Note that although the September 2014 survey was a ‘benchmark’ survey, HSR had appeared on packaged foods and in the press due to the initial product launch in February 2014.</w:t>
      </w:r>
    </w:p>
  </w:footnote>
  <w:footnote w:id="2">
    <w:p w:rsidR="00690F8B" w:rsidRPr="00E653FA" w:rsidRDefault="00690F8B" w:rsidP="00815582">
      <w:pPr>
        <w:pStyle w:val="FootnoteText"/>
        <w:spacing w:line="240" w:lineRule="auto"/>
        <w:rPr>
          <w:sz w:val="18"/>
          <w:szCs w:val="18"/>
        </w:rPr>
      </w:pPr>
      <w:r w:rsidRPr="00AE328C">
        <w:rPr>
          <w:rStyle w:val="FootnoteReference"/>
          <w:sz w:val="18"/>
          <w:szCs w:val="18"/>
        </w:rPr>
        <w:footnoteRef/>
      </w:r>
      <w:r w:rsidRPr="00AE328C">
        <w:rPr>
          <w:sz w:val="18"/>
          <w:szCs w:val="18"/>
        </w:rPr>
        <w:t xml:space="preserve"> </w:t>
      </w:r>
      <w:proofErr w:type="gramStart"/>
      <w:r w:rsidRPr="00AE328C">
        <w:rPr>
          <w:sz w:val="18"/>
          <w:szCs w:val="18"/>
        </w:rPr>
        <w:t>“</w:t>
      </w:r>
      <w:r w:rsidRPr="00AE328C">
        <w:rPr>
          <w:color w:val="404040" w:themeColor="text1" w:themeTint="BF"/>
          <w:sz w:val="18"/>
          <w:szCs w:val="18"/>
        </w:rPr>
        <w:t>Top of mind” means that HSR was the ‘first mention’ of a respondent.”</w:t>
      </w:r>
      <w:proofErr w:type="gramEnd"/>
      <w:r w:rsidRPr="00AE328C">
        <w:rPr>
          <w:color w:val="404040" w:themeColor="text1" w:themeTint="BF"/>
          <w:sz w:val="18"/>
          <w:szCs w:val="18"/>
        </w:rPr>
        <w:t xml:space="preserve"> “Other spontaneous”</w:t>
      </w:r>
      <w:r w:rsidRPr="00E653FA">
        <w:rPr>
          <w:color w:val="404040" w:themeColor="text1" w:themeTint="BF"/>
          <w:sz w:val="18"/>
          <w:szCs w:val="18"/>
        </w:rPr>
        <w:t xml:space="preserve"> means other unprompted mention.</w:t>
      </w:r>
      <w:r>
        <w:rPr>
          <w:color w:val="404040" w:themeColor="text1" w:themeTint="BF"/>
          <w:sz w:val="18"/>
          <w:szCs w:val="18"/>
        </w:rPr>
        <w:t xml:space="preserve"> “Total spontaneous” mentions is top of mind and other spontaneous mentions combined</w:t>
      </w:r>
    </w:p>
  </w:footnote>
  <w:footnote w:id="3">
    <w:p w:rsidR="00690F8B" w:rsidRPr="006A6AE3" w:rsidRDefault="00690F8B" w:rsidP="00E653FA">
      <w:pPr>
        <w:pStyle w:val="FootnoteText"/>
        <w:spacing w:line="240" w:lineRule="auto"/>
        <w:rPr>
          <w:color w:val="404040" w:themeColor="text1" w:themeTint="BF"/>
        </w:rPr>
      </w:pPr>
      <w:r w:rsidRPr="00E653FA">
        <w:rPr>
          <w:rStyle w:val="FootnoteReference"/>
          <w:color w:val="404040" w:themeColor="text1" w:themeTint="BF"/>
          <w:sz w:val="18"/>
          <w:szCs w:val="18"/>
        </w:rPr>
        <w:footnoteRef/>
      </w:r>
      <w:r w:rsidRPr="00E653FA">
        <w:rPr>
          <w:color w:val="404040" w:themeColor="text1" w:themeTint="BF"/>
          <w:sz w:val="18"/>
          <w:szCs w:val="18"/>
        </w:rPr>
        <w:t xml:space="preserve"> Respondents were asked: </w:t>
      </w:r>
      <w:r w:rsidRPr="00E653FA">
        <w:rPr>
          <w:i/>
          <w:color w:val="404040" w:themeColor="text1" w:themeTint="BF"/>
          <w:sz w:val="18"/>
          <w:szCs w:val="18"/>
        </w:rPr>
        <w:t xml:space="preserve">Apart from brand names, can you think of any nutrition logos or labelling that you have seen on food packaging to help you decide how healthy it is? If so, what was it that you saw? </w:t>
      </w:r>
      <w:r w:rsidRPr="00E653FA">
        <w:rPr>
          <w:color w:val="404040" w:themeColor="text1" w:themeTint="BF"/>
          <w:sz w:val="18"/>
          <w:szCs w:val="18"/>
        </w:rPr>
        <w:t>, then asked;</w:t>
      </w:r>
      <w:r w:rsidRPr="00E653FA">
        <w:rPr>
          <w:bCs/>
          <w:color w:val="404040" w:themeColor="text1" w:themeTint="BF"/>
          <w:sz w:val="18"/>
          <w:szCs w:val="18"/>
        </w:rPr>
        <w:t xml:space="preserve"> </w:t>
      </w:r>
      <w:r w:rsidRPr="00E653FA">
        <w:rPr>
          <w:i/>
          <w:color w:val="404040" w:themeColor="text1" w:themeTint="BF"/>
          <w:sz w:val="18"/>
          <w:szCs w:val="18"/>
        </w:rPr>
        <w:t>which of the following nutrition logos or labelling on food packaging have you heard of?</w:t>
      </w:r>
      <w:r w:rsidRPr="00E653FA">
        <w:rPr>
          <w:color w:val="404040" w:themeColor="text1" w:themeTint="BF"/>
          <w:sz w:val="18"/>
          <w:szCs w:val="18"/>
        </w:rPr>
        <w:t xml:space="preserve"> </w:t>
      </w:r>
      <w:proofErr w:type="gramStart"/>
      <w:r w:rsidRPr="00E653FA">
        <w:rPr>
          <w:color w:val="404040" w:themeColor="text1" w:themeTint="BF"/>
          <w:sz w:val="18"/>
          <w:szCs w:val="18"/>
        </w:rPr>
        <w:t>While being shown images/logos.</w:t>
      </w:r>
      <w:proofErr w:type="gramEnd"/>
      <w:r w:rsidRPr="006A6AE3">
        <w:rPr>
          <w:color w:val="404040" w:themeColor="text1" w:themeTint="BF"/>
        </w:rPr>
        <w:t xml:space="preserve"> </w:t>
      </w:r>
    </w:p>
  </w:footnote>
  <w:footnote w:id="4">
    <w:p w:rsidR="00690F8B" w:rsidRPr="00E653FA" w:rsidRDefault="00690F8B" w:rsidP="00E653FA">
      <w:pPr>
        <w:pStyle w:val="FootnoteText"/>
        <w:spacing w:line="240" w:lineRule="auto"/>
        <w:rPr>
          <w:sz w:val="18"/>
          <w:szCs w:val="18"/>
        </w:rPr>
      </w:pPr>
      <w:r w:rsidRPr="001B20EA">
        <w:rPr>
          <w:rStyle w:val="FootnoteReference"/>
          <w:color w:val="404040" w:themeColor="text1" w:themeTint="BF"/>
          <w:sz w:val="18"/>
          <w:szCs w:val="18"/>
        </w:rPr>
        <w:footnoteRef/>
      </w:r>
      <w:r w:rsidRPr="001B20EA">
        <w:rPr>
          <w:color w:val="404040" w:themeColor="text1" w:themeTint="BF"/>
          <w:sz w:val="18"/>
          <w:szCs w:val="18"/>
        </w:rPr>
        <w:t xml:space="preserve"> Pollinate research- multiple studies across categories- beverage, digital media, appliances, fashion</w:t>
      </w:r>
      <w:r w:rsidRPr="00E653FA">
        <w:rPr>
          <w:sz w:val="18"/>
          <w:szCs w:val="18"/>
        </w:rPr>
        <w:t xml:space="preserve">. </w:t>
      </w:r>
    </w:p>
  </w:footnote>
  <w:footnote w:id="5">
    <w:p w:rsidR="00690F8B" w:rsidRPr="00E653FA" w:rsidRDefault="00690F8B" w:rsidP="00E653FA">
      <w:pPr>
        <w:tabs>
          <w:tab w:val="left" w:pos="720"/>
          <w:tab w:val="left" w:pos="1440"/>
          <w:tab w:val="left" w:pos="2160"/>
          <w:tab w:val="left" w:pos="2880"/>
        </w:tabs>
        <w:spacing w:after="0" w:line="240" w:lineRule="auto"/>
        <w:rPr>
          <w:sz w:val="18"/>
          <w:szCs w:val="18"/>
        </w:rPr>
      </w:pPr>
      <w:r w:rsidRPr="00E653FA">
        <w:rPr>
          <w:color w:val="404040" w:themeColor="text1" w:themeTint="BF"/>
          <w:sz w:val="18"/>
          <w:szCs w:val="18"/>
          <w:vertAlign w:val="superscript"/>
        </w:rPr>
        <w:footnoteRef/>
      </w:r>
      <w:r w:rsidRPr="00E653FA">
        <w:rPr>
          <w:sz w:val="18"/>
          <w:szCs w:val="18"/>
        </w:rPr>
        <w:t xml:space="preserve"> </w:t>
      </w:r>
      <w:r w:rsidRPr="00E653FA">
        <w:rPr>
          <w:color w:val="404040" w:themeColor="text1" w:themeTint="BF"/>
          <w:sz w:val="18"/>
          <w:szCs w:val="18"/>
        </w:rPr>
        <w:t>Body Mass Index is a person's weight in kilograms divided by the square of height in meters. BMI can be used as a screening tool for weight categories that may indicate higher risk of some health conditions, but is not diagnostic of the health of an individual.</w:t>
      </w:r>
    </w:p>
  </w:footnote>
  <w:footnote w:id="6">
    <w:p w:rsidR="00690F8B" w:rsidRDefault="00690F8B" w:rsidP="00E653FA">
      <w:pPr>
        <w:pStyle w:val="FootnoteText"/>
        <w:spacing w:line="240" w:lineRule="auto"/>
      </w:pPr>
      <w:r w:rsidRPr="00E653FA">
        <w:rPr>
          <w:color w:val="404040" w:themeColor="text1" w:themeTint="BF"/>
          <w:sz w:val="18"/>
          <w:szCs w:val="18"/>
          <w:vertAlign w:val="superscript"/>
        </w:rPr>
        <w:footnoteRef/>
      </w:r>
      <w:r w:rsidRPr="00E653FA">
        <w:rPr>
          <w:color w:val="404040" w:themeColor="text1" w:themeTint="BF"/>
          <w:sz w:val="18"/>
          <w:szCs w:val="18"/>
        </w:rPr>
        <w:t xml:space="preserve"> Obesity classes defined as: Class 1 - BMI 30.0 - 34.9, Class 2 BMI 35.0 - 39.9, Class 3 equal to or greater than 40.0</w:t>
      </w:r>
    </w:p>
  </w:footnote>
  <w:footnote w:id="7">
    <w:p w:rsidR="00690F8B" w:rsidRDefault="00690F8B">
      <w:pPr>
        <w:pStyle w:val="FootnoteText"/>
      </w:pPr>
      <w:r>
        <w:rPr>
          <w:rStyle w:val="FootnoteReference"/>
        </w:rPr>
        <w:footnoteRef/>
      </w:r>
      <w:r>
        <w:t xml:space="preserve"> </w:t>
      </w:r>
      <w:r>
        <w:rPr>
          <w:noProof/>
          <w:lang w:eastAsia="en-AU"/>
        </w:rPr>
        <w:t xml:space="preserve">Noting that this is higher than the 42% who stated they are aware of the HSR, awareness is asked in a grid format with other nutritional labelling. Further in to the survey, respondents are shown the HSR in context, which may drive increase people’s recognition of the system. </w:t>
      </w:r>
    </w:p>
  </w:footnote>
  <w:footnote w:id="8">
    <w:p w:rsidR="00690F8B" w:rsidRPr="00E653FA" w:rsidRDefault="00690F8B" w:rsidP="00E653FA">
      <w:pPr>
        <w:pStyle w:val="CommentText"/>
        <w:spacing w:after="0" w:line="240" w:lineRule="auto"/>
        <w:rPr>
          <w:sz w:val="18"/>
          <w:szCs w:val="18"/>
        </w:rPr>
      </w:pPr>
      <w:r w:rsidRPr="00E653FA">
        <w:rPr>
          <w:rStyle w:val="FootnoteReference"/>
          <w:sz w:val="18"/>
          <w:szCs w:val="18"/>
        </w:rPr>
        <w:footnoteRef/>
      </w:r>
      <w:r w:rsidRPr="00E653FA">
        <w:rPr>
          <w:sz w:val="18"/>
          <w:szCs w:val="18"/>
        </w:rPr>
        <w:t xml:space="preserve"> Due to the similarity of the print/OOH executions, respondents were shown the three creative designs, accompanied by a question asking where they saw the ad</w:t>
      </w:r>
    </w:p>
    <w:p w:rsidR="00690F8B" w:rsidRDefault="00690F8B">
      <w:pPr>
        <w:pStyle w:val="FootnoteText"/>
      </w:pPr>
    </w:p>
  </w:footnote>
  <w:footnote w:id="9">
    <w:p w:rsidR="00690F8B" w:rsidRDefault="00690F8B">
      <w:pPr>
        <w:pStyle w:val="FootnoteText"/>
      </w:pPr>
      <w:r>
        <w:rPr>
          <w:rStyle w:val="FootnoteReference"/>
        </w:rPr>
        <w:footnoteRef/>
      </w:r>
      <w:r>
        <w:t xml:space="preserve"> Note that the advertising materials are not on screen when this question is asked, but respondents had viewed the materials in the question prior.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F8B" w:rsidRDefault="00690F8B" w:rsidP="00EC3ECD">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F8B" w:rsidRDefault="00690F8B" w:rsidP="009643F5">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6922224"/>
      <w:docPartObj>
        <w:docPartGallery w:val="Page Numbers (Top of Page)"/>
        <w:docPartUnique/>
      </w:docPartObj>
    </w:sdtPr>
    <w:sdtEndPr>
      <w:rPr>
        <w:noProof/>
      </w:rPr>
    </w:sdtEndPr>
    <w:sdtContent>
      <w:p w:rsidR="00690F8B" w:rsidRPr="00ED3EF1" w:rsidRDefault="00690F8B" w:rsidP="00E955D6">
        <w:pPr>
          <w:pStyle w:val="Header"/>
          <w:jc w:val="right"/>
          <w:rPr>
            <w:i/>
            <w:sz w:val="20"/>
            <w:szCs w:val="20"/>
          </w:rPr>
        </w:pPr>
        <w:r>
          <w:fldChar w:fldCharType="begin"/>
        </w:r>
        <w:r>
          <w:instrText xml:space="preserve"> PAGE   \* MERGEFORMAT </w:instrText>
        </w:r>
        <w:r>
          <w:fldChar w:fldCharType="separate"/>
        </w:r>
        <w:r w:rsidR="005F2E92">
          <w:rPr>
            <w:noProof/>
          </w:rPr>
          <w:t>23</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1648D"/>
    <w:multiLevelType w:val="hybridMultilevel"/>
    <w:tmpl w:val="74347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6E33A6D"/>
    <w:multiLevelType w:val="hybridMultilevel"/>
    <w:tmpl w:val="4BA420C6"/>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
    <w:nsid w:val="22E67BE0"/>
    <w:multiLevelType w:val="hybridMultilevel"/>
    <w:tmpl w:val="3BE092E4"/>
    <w:lvl w:ilvl="0" w:tplc="C220D050">
      <w:start w:val="1"/>
      <w:numFmt w:val="bullet"/>
      <w:lvlText w:val="•"/>
      <w:lvlJc w:val="left"/>
      <w:pPr>
        <w:tabs>
          <w:tab w:val="num" w:pos="720"/>
        </w:tabs>
        <w:ind w:left="720" w:hanging="360"/>
      </w:pPr>
      <w:rPr>
        <w:rFonts w:ascii="Arial" w:hAnsi="Arial" w:hint="default"/>
      </w:rPr>
    </w:lvl>
    <w:lvl w:ilvl="1" w:tplc="49829568" w:tentative="1">
      <w:start w:val="1"/>
      <w:numFmt w:val="bullet"/>
      <w:lvlText w:val="•"/>
      <w:lvlJc w:val="left"/>
      <w:pPr>
        <w:tabs>
          <w:tab w:val="num" w:pos="1440"/>
        </w:tabs>
        <w:ind w:left="1440" w:hanging="360"/>
      </w:pPr>
      <w:rPr>
        <w:rFonts w:ascii="Arial" w:hAnsi="Arial" w:hint="default"/>
      </w:rPr>
    </w:lvl>
    <w:lvl w:ilvl="2" w:tplc="30AA444E" w:tentative="1">
      <w:start w:val="1"/>
      <w:numFmt w:val="bullet"/>
      <w:lvlText w:val="•"/>
      <w:lvlJc w:val="left"/>
      <w:pPr>
        <w:tabs>
          <w:tab w:val="num" w:pos="2160"/>
        </w:tabs>
        <w:ind w:left="2160" w:hanging="360"/>
      </w:pPr>
      <w:rPr>
        <w:rFonts w:ascii="Arial" w:hAnsi="Arial" w:hint="default"/>
      </w:rPr>
    </w:lvl>
    <w:lvl w:ilvl="3" w:tplc="BB9E4D1C" w:tentative="1">
      <w:start w:val="1"/>
      <w:numFmt w:val="bullet"/>
      <w:lvlText w:val="•"/>
      <w:lvlJc w:val="left"/>
      <w:pPr>
        <w:tabs>
          <w:tab w:val="num" w:pos="2880"/>
        </w:tabs>
        <w:ind w:left="2880" w:hanging="360"/>
      </w:pPr>
      <w:rPr>
        <w:rFonts w:ascii="Arial" w:hAnsi="Arial" w:hint="default"/>
      </w:rPr>
    </w:lvl>
    <w:lvl w:ilvl="4" w:tplc="9540352A" w:tentative="1">
      <w:start w:val="1"/>
      <w:numFmt w:val="bullet"/>
      <w:lvlText w:val="•"/>
      <w:lvlJc w:val="left"/>
      <w:pPr>
        <w:tabs>
          <w:tab w:val="num" w:pos="3600"/>
        </w:tabs>
        <w:ind w:left="3600" w:hanging="360"/>
      </w:pPr>
      <w:rPr>
        <w:rFonts w:ascii="Arial" w:hAnsi="Arial" w:hint="default"/>
      </w:rPr>
    </w:lvl>
    <w:lvl w:ilvl="5" w:tplc="036A6772" w:tentative="1">
      <w:start w:val="1"/>
      <w:numFmt w:val="bullet"/>
      <w:lvlText w:val="•"/>
      <w:lvlJc w:val="left"/>
      <w:pPr>
        <w:tabs>
          <w:tab w:val="num" w:pos="4320"/>
        </w:tabs>
        <w:ind w:left="4320" w:hanging="360"/>
      </w:pPr>
      <w:rPr>
        <w:rFonts w:ascii="Arial" w:hAnsi="Arial" w:hint="default"/>
      </w:rPr>
    </w:lvl>
    <w:lvl w:ilvl="6" w:tplc="E5FA592C" w:tentative="1">
      <w:start w:val="1"/>
      <w:numFmt w:val="bullet"/>
      <w:lvlText w:val="•"/>
      <w:lvlJc w:val="left"/>
      <w:pPr>
        <w:tabs>
          <w:tab w:val="num" w:pos="5040"/>
        </w:tabs>
        <w:ind w:left="5040" w:hanging="360"/>
      </w:pPr>
      <w:rPr>
        <w:rFonts w:ascii="Arial" w:hAnsi="Arial" w:hint="default"/>
      </w:rPr>
    </w:lvl>
    <w:lvl w:ilvl="7" w:tplc="66DECEA0" w:tentative="1">
      <w:start w:val="1"/>
      <w:numFmt w:val="bullet"/>
      <w:lvlText w:val="•"/>
      <w:lvlJc w:val="left"/>
      <w:pPr>
        <w:tabs>
          <w:tab w:val="num" w:pos="5760"/>
        </w:tabs>
        <w:ind w:left="5760" w:hanging="360"/>
      </w:pPr>
      <w:rPr>
        <w:rFonts w:ascii="Arial" w:hAnsi="Arial" w:hint="default"/>
      </w:rPr>
    </w:lvl>
    <w:lvl w:ilvl="8" w:tplc="7D9059DC" w:tentative="1">
      <w:start w:val="1"/>
      <w:numFmt w:val="bullet"/>
      <w:lvlText w:val="•"/>
      <w:lvlJc w:val="left"/>
      <w:pPr>
        <w:tabs>
          <w:tab w:val="num" w:pos="6480"/>
        </w:tabs>
        <w:ind w:left="6480" w:hanging="360"/>
      </w:pPr>
      <w:rPr>
        <w:rFonts w:ascii="Arial" w:hAnsi="Arial" w:hint="default"/>
      </w:rPr>
    </w:lvl>
  </w:abstractNum>
  <w:abstractNum w:abstractNumId="3">
    <w:nsid w:val="247E1F28"/>
    <w:multiLevelType w:val="hybridMultilevel"/>
    <w:tmpl w:val="F2EA8852"/>
    <w:lvl w:ilvl="0" w:tplc="66727B08">
      <w:start w:val="1"/>
      <w:numFmt w:val="bullet"/>
      <w:lvlText w:val=""/>
      <w:lvlJc w:val="left"/>
      <w:pPr>
        <w:ind w:left="720" w:hanging="360"/>
      </w:pPr>
      <w:rPr>
        <w:rFonts w:ascii="Symbol" w:hAnsi="Symbol" w:hint="default"/>
        <w:color w:val="000000" w:themeColor="text1"/>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0EB6C70"/>
    <w:multiLevelType w:val="hybridMultilevel"/>
    <w:tmpl w:val="9490F948"/>
    <w:lvl w:ilvl="0" w:tplc="E9C4A204">
      <w:start w:val="1"/>
      <w:numFmt w:val="bullet"/>
      <w:lvlText w:val="•"/>
      <w:lvlJc w:val="left"/>
      <w:pPr>
        <w:tabs>
          <w:tab w:val="num" w:pos="1080"/>
        </w:tabs>
        <w:ind w:left="1080" w:hanging="360"/>
      </w:pPr>
      <w:rPr>
        <w:rFonts w:ascii="Arial" w:hAnsi="Arial" w:hint="default"/>
      </w:rPr>
    </w:lvl>
    <w:lvl w:ilvl="1" w:tplc="13EEF810" w:tentative="1">
      <w:start w:val="1"/>
      <w:numFmt w:val="bullet"/>
      <w:lvlText w:val="•"/>
      <w:lvlJc w:val="left"/>
      <w:pPr>
        <w:tabs>
          <w:tab w:val="num" w:pos="1800"/>
        </w:tabs>
        <w:ind w:left="1800" w:hanging="360"/>
      </w:pPr>
      <w:rPr>
        <w:rFonts w:ascii="Arial" w:hAnsi="Arial" w:hint="default"/>
      </w:rPr>
    </w:lvl>
    <w:lvl w:ilvl="2" w:tplc="43569932" w:tentative="1">
      <w:start w:val="1"/>
      <w:numFmt w:val="bullet"/>
      <w:lvlText w:val="•"/>
      <w:lvlJc w:val="left"/>
      <w:pPr>
        <w:tabs>
          <w:tab w:val="num" w:pos="2520"/>
        </w:tabs>
        <w:ind w:left="2520" w:hanging="360"/>
      </w:pPr>
      <w:rPr>
        <w:rFonts w:ascii="Arial" w:hAnsi="Arial" w:hint="default"/>
      </w:rPr>
    </w:lvl>
    <w:lvl w:ilvl="3" w:tplc="9F5884E4" w:tentative="1">
      <w:start w:val="1"/>
      <w:numFmt w:val="bullet"/>
      <w:lvlText w:val="•"/>
      <w:lvlJc w:val="left"/>
      <w:pPr>
        <w:tabs>
          <w:tab w:val="num" w:pos="3240"/>
        </w:tabs>
        <w:ind w:left="3240" w:hanging="360"/>
      </w:pPr>
      <w:rPr>
        <w:rFonts w:ascii="Arial" w:hAnsi="Arial" w:hint="default"/>
      </w:rPr>
    </w:lvl>
    <w:lvl w:ilvl="4" w:tplc="9A6C9E6A" w:tentative="1">
      <w:start w:val="1"/>
      <w:numFmt w:val="bullet"/>
      <w:lvlText w:val="•"/>
      <w:lvlJc w:val="left"/>
      <w:pPr>
        <w:tabs>
          <w:tab w:val="num" w:pos="3960"/>
        </w:tabs>
        <w:ind w:left="3960" w:hanging="360"/>
      </w:pPr>
      <w:rPr>
        <w:rFonts w:ascii="Arial" w:hAnsi="Arial" w:hint="default"/>
      </w:rPr>
    </w:lvl>
    <w:lvl w:ilvl="5" w:tplc="EAD0C92E" w:tentative="1">
      <w:start w:val="1"/>
      <w:numFmt w:val="bullet"/>
      <w:lvlText w:val="•"/>
      <w:lvlJc w:val="left"/>
      <w:pPr>
        <w:tabs>
          <w:tab w:val="num" w:pos="4680"/>
        </w:tabs>
        <w:ind w:left="4680" w:hanging="360"/>
      </w:pPr>
      <w:rPr>
        <w:rFonts w:ascii="Arial" w:hAnsi="Arial" w:hint="default"/>
      </w:rPr>
    </w:lvl>
    <w:lvl w:ilvl="6" w:tplc="797E5A8E" w:tentative="1">
      <w:start w:val="1"/>
      <w:numFmt w:val="bullet"/>
      <w:lvlText w:val="•"/>
      <w:lvlJc w:val="left"/>
      <w:pPr>
        <w:tabs>
          <w:tab w:val="num" w:pos="5400"/>
        </w:tabs>
        <w:ind w:left="5400" w:hanging="360"/>
      </w:pPr>
      <w:rPr>
        <w:rFonts w:ascii="Arial" w:hAnsi="Arial" w:hint="default"/>
      </w:rPr>
    </w:lvl>
    <w:lvl w:ilvl="7" w:tplc="62B6645C" w:tentative="1">
      <w:start w:val="1"/>
      <w:numFmt w:val="bullet"/>
      <w:lvlText w:val="•"/>
      <w:lvlJc w:val="left"/>
      <w:pPr>
        <w:tabs>
          <w:tab w:val="num" w:pos="6120"/>
        </w:tabs>
        <w:ind w:left="6120" w:hanging="360"/>
      </w:pPr>
      <w:rPr>
        <w:rFonts w:ascii="Arial" w:hAnsi="Arial" w:hint="default"/>
      </w:rPr>
    </w:lvl>
    <w:lvl w:ilvl="8" w:tplc="83D291D0" w:tentative="1">
      <w:start w:val="1"/>
      <w:numFmt w:val="bullet"/>
      <w:lvlText w:val="•"/>
      <w:lvlJc w:val="left"/>
      <w:pPr>
        <w:tabs>
          <w:tab w:val="num" w:pos="6840"/>
        </w:tabs>
        <w:ind w:left="6840" w:hanging="360"/>
      </w:pPr>
      <w:rPr>
        <w:rFonts w:ascii="Arial" w:hAnsi="Arial" w:hint="default"/>
      </w:rPr>
    </w:lvl>
  </w:abstractNum>
  <w:abstractNum w:abstractNumId="5">
    <w:nsid w:val="364C4B17"/>
    <w:multiLevelType w:val="hybridMultilevel"/>
    <w:tmpl w:val="56B0EF6A"/>
    <w:lvl w:ilvl="0" w:tplc="7CE4A4B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8A67F7C"/>
    <w:multiLevelType w:val="hybridMultilevel"/>
    <w:tmpl w:val="29B0B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E1E0943"/>
    <w:multiLevelType w:val="hybridMultilevel"/>
    <w:tmpl w:val="DB40AA6A"/>
    <w:lvl w:ilvl="0" w:tplc="42C285B4">
      <w:start w:val="1"/>
      <w:numFmt w:val="decimal"/>
      <w:lvlText w:val="%1."/>
      <w:lvlJc w:val="left"/>
      <w:pPr>
        <w:tabs>
          <w:tab w:val="num" w:pos="720"/>
        </w:tabs>
        <w:ind w:left="720" w:hanging="360"/>
      </w:pPr>
    </w:lvl>
    <w:lvl w:ilvl="1" w:tplc="D59450A4" w:tentative="1">
      <w:start w:val="1"/>
      <w:numFmt w:val="decimal"/>
      <w:lvlText w:val="%2."/>
      <w:lvlJc w:val="left"/>
      <w:pPr>
        <w:tabs>
          <w:tab w:val="num" w:pos="1440"/>
        </w:tabs>
        <w:ind w:left="1440" w:hanging="360"/>
      </w:pPr>
    </w:lvl>
    <w:lvl w:ilvl="2" w:tplc="0BD2C692" w:tentative="1">
      <w:start w:val="1"/>
      <w:numFmt w:val="decimal"/>
      <w:lvlText w:val="%3."/>
      <w:lvlJc w:val="left"/>
      <w:pPr>
        <w:tabs>
          <w:tab w:val="num" w:pos="2160"/>
        </w:tabs>
        <w:ind w:left="2160" w:hanging="360"/>
      </w:pPr>
    </w:lvl>
    <w:lvl w:ilvl="3" w:tplc="5A2CC85A" w:tentative="1">
      <w:start w:val="1"/>
      <w:numFmt w:val="decimal"/>
      <w:lvlText w:val="%4."/>
      <w:lvlJc w:val="left"/>
      <w:pPr>
        <w:tabs>
          <w:tab w:val="num" w:pos="2880"/>
        </w:tabs>
        <w:ind w:left="2880" w:hanging="360"/>
      </w:pPr>
    </w:lvl>
    <w:lvl w:ilvl="4" w:tplc="CE2E5EF0" w:tentative="1">
      <w:start w:val="1"/>
      <w:numFmt w:val="decimal"/>
      <w:lvlText w:val="%5."/>
      <w:lvlJc w:val="left"/>
      <w:pPr>
        <w:tabs>
          <w:tab w:val="num" w:pos="3600"/>
        </w:tabs>
        <w:ind w:left="3600" w:hanging="360"/>
      </w:pPr>
    </w:lvl>
    <w:lvl w:ilvl="5" w:tplc="9926CC66" w:tentative="1">
      <w:start w:val="1"/>
      <w:numFmt w:val="decimal"/>
      <w:lvlText w:val="%6."/>
      <w:lvlJc w:val="left"/>
      <w:pPr>
        <w:tabs>
          <w:tab w:val="num" w:pos="4320"/>
        </w:tabs>
        <w:ind w:left="4320" w:hanging="360"/>
      </w:pPr>
    </w:lvl>
    <w:lvl w:ilvl="6" w:tplc="1F72DBF6" w:tentative="1">
      <w:start w:val="1"/>
      <w:numFmt w:val="decimal"/>
      <w:lvlText w:val="%7."/>
      <w:lvlJc w:val="left"/>
      <w:pPr>
        <w:tabs>
          <w:tab w:val="num" w:pos="5040"/>
        </w:tabs>
        <w:ind w:left="5040" w:hanging="360"/>
      </w:pPr>
    </w:lvl>
    <w:lvl w:ilvl="7" w:tplc="F63CE35C" w:tentative="1">
      <w:start w:val="1"/>
      <w:numFmt w:val="decimal"/>
      <w:lvlText w:val="%8."/>
      <w:lvlJc w:val="left"/>
      <w:pPr>
        <w:tabs>
          <w:tab w:val="num" w:pos="5760"/>
        </w:tabs>
        <w:ind w:left="5760" w:hanging="360"/>
      </w:pPr>
    </w:lvl>
    <w:lvl w:ilvl="8" w:tplc="BC3E0D30" w:tentative="1">
      <w:start w:val="1"/>
      <w:numFmt w:val="decimal"/>
      <w:lvlText w:val="%9."/>
      <w:lvlJc w:val="left"/>
      <w:pPr>
        <w:tabs>
          <w:tab w:val="num" w:pos="6480"/>
        </w:tabs>
        <w:ind w:left="6480" w:hanging="360"/>
      </w:pPr>
    </w:lvl>
  </w:abstractNum>
  <w:abstractNum w:abstractNumId="8">
    <w:nsid w:val="50E4071B"/>
    <w:multiLevelType w:val="hybridMultilevel"/>
    <w:tmpl w:val="81F06F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77624A1"/>
    <w:multiLevelType w:val="hybridMultilevel"/>
    <w:tmpl w:val="F9FA6EF4"/>
    <w:lvl w:ilvl="0" w:tplc="DA0ED7EA">
      <w:start w:val="1"/>
      <w:numFmt w:val="bullet"/>
      <w:lvlText w:val=""/>
      <w:lvlJc w:val="left"/>
      <w:pPr>
        <w:ind w:left="720" w:hanging="360"/>
      </w:pPr>
      <w:rPr>
        <w:rFonts w:ascii="Symbol" w:hAnsi="Symbol" w:hint="default"/>
        <w:color w:val="F79646"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A0570C4"/>
    <w:multiLevelType w:val="hybridMultilevel"/>
    <w:tmpl w:val="B16AB40C"/>
    <w:lvl w:ilvl="0" w:tplc="7CE4A4B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D4F065C"/>
    <w:multiLevelType w:val="hybridMultilevel"/>
    <w:tmpl w:val="61D479D2"/>
    <w:lvl w:ilvl="0" w:tplc="FFB2E8C8">
      <w:start w:val="1"/>
      <w:numFmt w:val="bullet"/>
      <w:lvlText w:val="•"/>
      <w:lvlJc w:val="left"/>
      <w:pPr>
        <w:tabs>
          <w:tab w:val="num" w:pos="720"/>
        </w:tabs>
        <w:ind w:left="720" w:hanging="360"/>
      </w:pPr>
      <w:rPr>
        <w:rFonts w:ascii="Arial" w:hAnsi="Arial" w:hint="default"/>
      </w:rPr>
    </w:lvl>
    <w:lvl w:ilvl="1" w:tplc="D6B4525C">
      <w:start w:val="1"/>
      <w:numFmt w:val="bullet"/>
      <w:lvlText w:val="•"/>
      <w:lvlJc w:val="left"/>
      <w:pPr>
        <w:tabs>
          <w:tab w:val="num" w:pos="1440"/>
        </w:tabs>
        <w:ind w:left="1440" w:hanging="360"/>
      </w:pPr>
      <w:rPr>
        <w:rFonts w:ascii="Arial" w:hAnsi="Arial" w:hint="default"/>
      </w:rPr>
    </w:lvl>
    <w:lvl w:ilvl="2" w:tplc="FB0A784E" w:tentative="1">
      <w:start w:val="1"/>
      <w:numFmt w:val="bullet"/>
      <w:lvlText w:val="•"/>
      <w:lvlJc w:val="left"/>
      <w:pPr>
        <w:tabs>
          <w:tab w:val="num" w:pos="2160"/>
        </w:tabs>
        <w:ind w:left="2160" w:hanging="360"/>
      </w:pPr>
      <w:rPr>
        <w:rFonts w:ascii="Arial" w:hAnsi="Arial" w:hint="default"/>
      </w:rPr>
    </w:lvl>
    <w:lvl w:ilvl="3" w:tplc="D954F75A" w:tentative="1">
      <w:start w:val="1"/>
      <w:numFmt w:val="bullet"/>
      <w:lvlText w:val="•"/>
      <w:lvlJc w:val="left"/>
      <w:pPr>
        <w:tabs>
          <w:tab w:val="num" w:pos="2880"/>
        </w:tabs>
        <w:ind w:left="2880" w:hanging="360"/>
      </w:pPr>
      <w:rPr>
        <w:rFonts w:ascii="Arial" w:hAnsi="Arial" w:hint="default"/>
      </w:rPr>
    </w:lvl>
    <w:lvl w:ilvl="4" w:tplc="DD62ADAA" w:tentative="1">
      <w:start w:val="1"/>
      <w:numFmt w:val="bullet"/>
      <w:lvlText w:val="•"/>
      <w:lvlJc w:val="left"/>
      <w:pPr>
        <w:tabs>
          <w:tab w:val="num" w:pos="3600"/>
        </w:tabs>
        <w:ind w:left="3600" w:hanging="360"/>
      </w:pPr>
      <w:rPr>
        <w:rFonts w:ascii="Arial" w:hAnsi="Arial" w:hint="default"/>
      </w:rPr>
    </w:lvl>
    <w:lvl w:ilvl="5" w:tplc="DE76141A" w:tentative="1">
      <w:start w:val="1"/>
      <w:numFmt w:val="bullet"/>
      <w:lvlText w:val="•"/>
      <w:lvlJc w:val="left"/>
      <w:pPr>
        <w:tabs>
          <w:tab w:val="num" w:pos="4320"/>
        </w:tabs>
        <w:ind w:left="4320" w:hanging="360"/>
      </w:pPr>
      <w:rPr>
        <w:rFonts w:ascii="Arial" w:hAnsi="Arial" w:hint="default"/>
      </w:rPr>
    </w:lvl>
    <w:lvl w:ilvl="6" w:tplc="89888E2E" w:tentative="1">
      <w:start w:val="1"/>
      <w:numFmt w:val="bullet"/>
      <w:lvlText w:val="•"/>
      <w:lvlJc w:val="left"/>
      <w:pPr>
        <w:tabs>
          <w:tab w:val="num" w:pos="5040"/>
        </w:tabs>
        <w:ind w:left="5040" w:hanging="360"/>
      </w:pPr>
      <w:rPr>
        <w:rFonts w:ascii="Arial" w:hAnsi="Arial" w:hint="default"/>
      </w:rPr>
    </w:lvl>
    <w:lvl w:ilvl="7" w:tplc="23A0FC76" w:tentative="1">
      <w:start w:val="1"/>
      <w:numFmt w:val="bullet"/>
      <w:lvlText w:val="•"/>
      <w:lvlJc w:val="left"/>
      <w:pPr>
        <w:tabs>
          <w:tab w:val="num" w:pos="5760"/>
        </w:tabs>
        <w:ind w:left="5760" w:hanging="360"/>
      </w:pPr>
      <w:rPr>
        <w:rFonts w:ascii="Arial" w:hAnsi="Arial" w:hint="default"/>
      </w:rPr>
    </w:lvl>
    <w:lvl w:ilvl="8" w:tplc="C9CC2BE6"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5"/>
  </w:num>
  <w:num w:numId="3">
    <w:abstractNumId w:val="1"/>
  </w:num>
  <w:num w:numId="4">
    <w:abstractNumId w:val="4"/>
  </w:num>
  <w:num w:numId="5">
    <w:abstractNumId w:val="2"/>
  </w:num>
  <w:num w:numId="6">
    <w:abstractNumId w:val="11"/>
  </w:num>
  <w:num w:numId="7">
    <w:abstractNumId w:val="0"/>
  </w:num>
  <w:num w:numId="8">
    <w:abstractNumId w:val="8"/>
  </w:num>
  <w:num w:numId="9">
    <w:abstractNumId w:val="9"/>
  </w:num>
  <w:num w:numId="10">
    <w:abstractNumId w:val="10"/>
  </w:num>
  <w:num w:numId="11">
    <w:abstractNumId w:val="3"/>
  </w:num>
  <w:num w:numId="1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ECD"/>
    <w:rsid w:val="00003743"/>
    <w:rsid w:val="00007D4A"/>
    <w:rsid w:val="00010033"/>
    <w:rsid w:val="00010174"/>
    <w:rsid w:val="00015B1B"/>
    <w:rsid w:val="00015D0E"/>
    <w:rsid w:val="000212D2"/>
    <w:rsid w:val="000242D4"/>
    <w:rsid w:val="00030793"/>
    <w:rsid w:val="00031E1A"/>
    <w:rsid w:val="000326F5"/>
    <w:rsid w:val="00037EF9"/>
    <w:rsid w:val="00044ABB"/>
    <w:rsid w:val="000461D6"/>
    <w:rsid w:val="00052E2B"/>
    <w:rsid w:val="000541C7"/>
    <w:rsid w:val="000571DB"/>
    <w:rsid w:val="00061582"/>
    <w:rsid w:val="00067456"/>
    <w:rsid w:val="00067656"/>
    <w:rsid w:val="00072000"/>
    <w:rsid w:val="00073752"/>
    <w:rsid w:val="00076362"/>
    <w:rsid w:val="00077948"/>
    <w:rsid w:val="00080CEC"/>
    <w:rsid w:val="000827E1"/>
    <w:rsid w:val="0008298D"/>
    <w:rsid w:val="00082BEB"/>
    <w:rsid w:val="000869B8"/>
    <w:rsid w:val="00086DB1"/>
    <w:rsid w:val="00087421"/>
    <w:rsid w:val="00094F2E"/>
    <w:rsid w:val="000A0F08"/>
    <w:rsid w:val="000A3496"/>
    <w:rsid w:val="000B37B0"/>
    <w:rsid w:val="000C49FA"/>
    <w:rsid w:val="000C5EDF"/>
    <w:rsid w:val="000C6712"/>
    <w:rsid w:val="000D23F6"/>
    <w:rsid w:val="000D5B29"/>
    <w:rsid w:val="000E63FE"/>
    <w:rsid w:val="000F2941"/>
    <w:rsid w:val="000F2D88"/>
    <w:rsid w:val="000F3CB9"/>
    <w:rsid w:val="000F4CBE"/>
    <w:rsid w:val="000F78B0"/>
    <w:rsid w:val="00100E04"/>
    <w:rsid w:val="00101E5C"/>
    <w:rsid w:val="001021A3"/>
    <w:rsid w:val="001029F3"/>
    <w:rsid w:val="00103065"/>
    <w:rsid w:val="00106EAF"/>
    <w:rsid w:val="00114A57"/>
    <w:rsid w:val="00115F0E"/>
    <w:rsid w:val="00117D13"/>
    <w:rsid w:val="00122D1F"/>
    <w:rsid w:val="001247B4"/>
    <w:rsid w:val="0013364E"/>
    <w:rsid w:val="0013418C"/>
    <w:rsid w:val="00137E98"/>
    <w:rsid w:val="00140A02"/>
    <w:rsid w:val="001421CE"/>
    <w:rsid w:val="00143223"/>
    <w:rsid w:val="0015356C"/>
    <w:rsid w:val="00153B11"/>
    <w:rsid w:val="00157A8B"/>
    <w:rsid w:val="00160D13"/>
    <w:rsid w:val="00161035"/>
    <w:rsid w:val="00164457"/>
    <w:rsid w:val="001648C4"/>
    <w:rsid w:val="00173A68"/>
    <w:rsid w:val="00180DFC"/>
    <w:rsid w:val="001818BA"/>
    <w:rsid w:val="00181F89"/>
    <w:rsid w:val="00185B9F"/>
    <w:rsid w:val="001920DF"/>
    <w:rsid w:val="00192A79"/>
    <w:rsid w:val="001A34FC"/>
    <w:rsid w:val="001A4FA4"/>
    <w:rsid w:val="001A5453"/>
    <w:rsid w:val="001A775B"/>
    <w:rsid w:val="001B20EA"/>
    <w:rsid w:val="001B3443"/>
    <w:rsid w:val="001B514C"/>
    <w:rsid w:val="001B533E"/>
    <w:rsid w:val="001C1CC4"/>
    <w:rsid w:val="001D09AC"/>
    <w:rsid w:val="001D28EB"/>
    <w:rsid w:val="001D4AE0"/>
    <w:rsid w:val="001E08DC"/>
    <w:rsid w:val="001E1E99"/>
    <w:rsid w:val="001E4917"/>
    <w:rsid w:val="001E5498"/>
    <w:rsid w:val="001E72DE"/>
    <w:rsid w:val="001F0B3E"/>
    <w:rsid w:val="001F1D2E"/>
    <w:rsid w:val="001F3558"/>
    <w:rsid w:val="001F48F8"/>
    <w:rsid w:val="001F7636"/>
    <w:rsid w:val="002007AE"/>
    <w:rsid w:val="002017F5"/>
    <w:rsid w:val="0020550E"/>
    <w:rsid w:val="002059B2"/>
    <w:rsid w:val="002115AF"/>
    <w:rsid w:val="00214FB7"/>
    <w:rsid w:val="00217C0F"/>
    <w:rsid w:val="00231121"/>
    <w:rsid w:val="00234654"/>
    <w:rsid w:val="0023529A"/>
    <w:rsid w:val="00237B9A"/>
    <w:rsid w:val="00240A30"/>
    <w:rsid w:val="00241A03"/>
    <w:rsid w:val="0024458C"/>
    <w:rsid w:val="002451F9"/>
    <w:rsid w:val="002576B0"/>
    <w:rsid w:val="00261C85"/>
    <w:rsid w:val="00263CBF"/>
    <w:rsid w:val="002643D2"/>
    <w:rsid w:val="00265BC3"/>
    <w:rsid w:val="0026725C"/>
    <w:rsid w:val="00270839"/>
    <w:rsid w:val="002722E3"/>
    <w:rsid w:val="00274ED0"/>
    <w:rsid w:val="00276814"/>
    <w:rsid w:val="00277477"/>
    <w:rsid w:val="0028147E"/>
    <w:rsid w:val="00281DE8"/>
    <w:rsid w:val="00285ECC"/>
    <w:rsid w:val="00293EB7"/>
    <w:rsid w:val="002A580C"/>
    <w:rsid w:val="002A6937"/>
    <w:rsid w:val="002A6F55"/>
    <w:rsid w:val="002A7ECA"/>
    <w:rsid w:val="002B244C"/>
    <w:rsid w:val="002B3268"/>
    <w:rsid w:val="002B6BE2"/>
    <w:rsid w:val="002C0B61"/>
    <w:rsid w:val="002C60A4"/>
    <w:rsid w:val="002C7653"/>
    <w:rsid w:val="002D1C4B"/>
    <w:rsid w:val="002D5E13"/>
    <w:rsid w:val="002D6644"/>
    <w:rsid w:val="002D7A0D"/>
    <w:rsid w:val="002D7D89"/>
    <w:rsid w:val="002E1B1F"/>
    <w:rsid w:val="002E68BA"/>
    <w:rsid w:val="002F3CEE"/>
    <w:rsid w:val="002F40B5"/>
    <w:rsid w:val="00301746"/>
    <w:rsid w:val="0030232A"/>
    <w:rsid w:val="00302B4A"/>
    <w:rsid w:val="0030786C"/>
    <w:rsid w:val="00310DB2"/>
    <w:rsid w:val="00314942"/>
    <w:rsid w:val="00321894"/>
    <w:rsid w:val="00325459"/>
    <w:rsid w:val="003347D8"/>
    <w:rsid w:val="003357E8"/>
    <w:rsid w:val="00342087"/>
    <w:rsid w:val="0034735D"/>
    <w:rsid w:val="00350642"/>
    <w:rsid w:val="00351DE8"/>
    <w:rsid w:val="00355690"/>
    <w:rsid w:val="00356641"/>
    <w:rsid w:val="00362875"/>
    <w:rsid w:val="00363679"/>
    <w:rsid w:val="00364A5D"/>
    <w:rsid w:val="00367D60"/>
    <w:rsid w:val="00370683"/>
    <w:rsid w:val="00370C1B"/>
    <w:rsid w:val="00372850"/>
    <w:rsid w:val="003746F4"/>
    <w:rsid w:val="003749EB"/>
    <w:rsid w:val="00375981"/>
    <w:rsid w:val="003813E5"/>
    <w:rsid w:val="00384195"/>
    <w:rsid w:val="00392C6C"/>
    <w:rsid w:val="00393636"/>
    <w:rsid w:val="003A04A5"/>
    <w:rsid w:val="003A4F75"/>
    <w:rsid w:val="003A78DA"/>
    <w:rsid w:val="003A7E46"/>
    <w:rsid w:val="003B3053"/>
    <w:rsid w:val="003B367B"/>
    <w:rsid w:val="003B39F0"/>
    <w:rsid w:val="003B478D"/>
    <w:rsid w:val="003B7FEB"/>
    <w:rsid w:val="003C3206"/>
    <w:rsid w:val="003C6954"/>
    <w:rsid w:val="003C7D74"/>
    <w:rsid w:val="003D1135"/>
    <w:rsid w:val="003D14A9"/>
    <w:rsid w:val="003D17F9"/>
    <w:rsid w:val="003D2D62"/>
    <w:rsid w:val="003D32FA"/>
    <w:rsid w:val="003D4B54"/>
    <w:rsid w:val="003D5E18"/>
    <w:rsid w:val="003D6637"/>
    <w:rsid w:val="003E3802"/>
    <w:rsid w:val="003E3A8A"/>
    <w:rsid w:val="003E3F18"/>
    <w:rsid w:val="003F0467"/>
    <w:rsid w:val="003F67F0"/>
    <w:rsid w:val="00402DDF"/>
    <w:rsid w:val="00403410"/>
    <w:rsid w:val="00404A53"/>
    <w:rsid w:val="0041559A"/>
    <w:rsid w:val="00422603"/>
    <w:rsid w:val="00425469"/>
    <w:rsid w:val="004254C5"/>
    <w:rsid w:val="0042721F"/>
    <w:rsid w:val="0043466C"/>
    <w:rsid w:val="00436489"/>
    <w:rsid w:val="004371CD"/>
    <w:rsid w:val="004473AE"/>
    <w:rsid w:val="00452DCD"/>
    <w:rsid w:val="00454F18"/>
    <w:rsid w:val="00455B75"/>
    <w:rsid w:val="0046054F"/>
    <w:rsid w:val="004639C0"/>
    <w:rsid w:val="00465020"/>
    <w:rsid w:val="00466125"/>
    <w:rsid w:val="00470A9E"/>
    <w:rsid w:val="004711AE"/>
    <w:rsid w:val="00471E26"/>
    <w:rsid w:val="00473C07"/>
    <w:rsid w:val="00477999"/>
    <w:rsid w:val="00480B98"/>
    <w:rsid w:val="004818FF"/>
    <w:rsid w:val="004867E2"/>
    <w:rsid w:val="00486DAC"/>
    <w:rsid w:val="00493B05"/>
    <w:rsid w:val="00495DC2"/>
    <w:rsid w:val="004A563A"/>
    <w:rsid w:val="004B1DE6"/>
    <w:rsid w:val="004B1EBC"/>
    <w:rsid w:val="004B1FAB"/>
    <w:rsid w:val="004B57C7"/>
    <w:rsid w:val="004B5801"/>
    <w:rsid w:val="004C509F"/>
    <w:rsid w:val="004C56A6"/>
    <w:rsid w:val="004D08BA"/>
    <w:rsid w:val="004D0A30"/>
    <w:rsid w:val="004D1DC5"/>
    <w:rsid w:val="004D3C68"/>
    <w:rsid w:val="004D441F"/>
    <w:rsid w:val="004D45F9"/>
    <w:rsid w:val="004D4A04"/>
    <w:rsid w:val="004E006A"/>
    <w:rsid w:val="004E752C"/>
    <w:rsid w:val="005000D2"/>
    <w:rsid w:val="00501C1B"/>
    <w:rsid w:val="00501CD6"/>
    <w:rsid w:val="00501E03"/>
    <w:rsid w:val="00502030"/>
    <w:rsid w:val="005020B0"/>
    <w:rsid w:val="0050269F"/>
    <w:rsid w:val="0050297E"/>
    <w:rsid w:val="0050613D"/>
    <w:rsid w:val="00510D6F"/>
    <w:rsid w:val="005156E7"/>
    <w:rsid w:val="00520076"/>
    <w:rsid w:val="005253B9"/>
    <w:rsid w:val="005258ED"/>
    <w:rsid w:val="005260F0"/>
    <w:rsid w:val="005265CB"/>
    <w:rsid w:val="005278EE"/>
    <w:rsid w:val="00530561"/>
    <w:rsid w:val="00532D84"/>
    <w:rsid w:val="00537714"/>
    <w:rsid w:val="00537F06"/>
    <w:rsid w:val="005414CD"/>
    <w:rsid w:val="00545AA1"/>
    <w:rsid w:val="00545F8B"/>
    <w:rsid w:val="005477CC"/>
    <w:rsid w:val="00547CFD"/>
    <w:rsid w:val="00553D60"/>
    <w:rsid w:val="005550C7"/>
    <w:rsid w:val="005577D2"/>
    <w:rsid w:val="00560E1D"/>
    <w:rsid w:val="00561453"/>
    <w:rsid w:val="00562D3F"/>
    <w:rsid w:val="00565F4D"/>
    <w:rsid w:val="005725E5"/>
    <w:rsid w:val="00575A9C"/>
    <w:rsid w:val="0057604B"/>
    <w:rsid w:val="00576335"/>
    <w:rsid w:val="00577AA5"/>
    <w:rsid w:val="00584E57"/>
    <w:rsid w:val="00590C5A"/>
    <w:rsid w:val="0059244F"/>
    <w:rsid w:val="005A0A18"/>
    <w:rsid w:val="005A2274"/>
    <w:rsid w:val="005A2ECF"/>
    <w:rsid w:val="005A4ABA"/>
    <w:rsid w:val="005A6ADC"/>
    <w:rsid w:val="005A71D4"/>
    <w:rsid w:val="005A79BE"/>
    <w:rsid w:val="005B2A87"/>
    <w:rsid w:val="005B2C66"/>
    <w:rsid w:val="005B3A9C"/>
    <w:rsid w:val="005B59C6"/>
    <w:rsid w:val="005B5FE0"/>
    <w:rsid w:val="005B6AAF"/>
    <w:rsid w:val="005B79EE"/>
    <w:rsid w:val="005B7F71"/>
    <w:rsid w:val="005C29AE"/>
    <w:rsid w:val="005C30DA"/>
    <w:rsid w:val="005C5CC3"/>
    <w:rsid w:val="005C5DF9"/>
    <w:rsid w:val="005D18E1"/>
    <w:rsid w:val="005D4951"/>
    <w:rsid w:val="005D623A"/>
    <w:rsid w:val="005D750F"/>
    <w:rsid w:val="005D772C"/>
    <w:rsid w:val="005E3077"/>
    <w:rsid w:val="005E315B"/>
    <w:rsid w:val="005E6F16"/>
    <w:rsid w:val="005F2E92"/>
    <w:rsid w:val="00603B54"/>
    <w:rsid w:val="006068DF"/>
    <w:rsid w:val="006072E6"/>
    <w:rsid w:val="00607D62"/>
    <w:rsid w:val="006117A0"/>
    <w:rsid w:val="00613192"/>
    <w:rsid w:val="0061382D"/>
    <w:rsid w:val="0062101D"/>
    <w:rsid w:val="00626074"/>
    <w:rsid w:val="0063406F"/>
    <w:rsid w:val="0063473A"/>
    <w:rsid w:val="006439CA"/>
    <w:rsid w:val="006501B6"/>
    <w:rsid w:val="006532B3"/>
    <w:rsid w:val="00654D10"/>
    <w:rsid w:val="006572D3"/>
    <w:rsid w:val="006579E8"/>
    <w:rsid w:val="0067309A"/>
    <w:rsid w:val="00673EFE"/>
    <w:rsid w:val="0067670E"/>
    <w:rsid w:val="0068410B"/>
    <w:rsid w:val="006874C6"/>
    <w:rsid w:val="00690CEF"/>
    <w:rsid w:val="00690F8B"/>
    <w:rsid w:val="00693ABE"/>
    <w:rsid w:val="00696B08"/>
    <w:rsid w:val="00697179"/>
    <w:rsid w:val="00697391"/>
    <w:rsid w:val="00697C65"/>
    <w:rsid w:val="006A490D"/>
    <w:rsid w:val="006A6A33"/>
    <w:rsid w:val="006A6AE3"/>
    <w:rsid w:val="006A7359"/>
    <w:rsid w:val="006A76F7"/>
    <w:rsid w:val="006B02BA"/>
    <w:rsid w:val="006C08E8"/>
    <w:rsid w:val="006C0AC9"/>
    <w:rsid w:val="006C0F66"/>
    <w:rsid w:val="006C0FEA"/>
    <w:rsid w:val="006C2B5B"/>
    <w:rsid w:val="006C4175"/>
    <w:rsid w:val="006D355C"/>
    <w:rsid w:val="006D6A24"/>
    <w:rsid w:val="006E0E48"/>
    <w:rsid w:val="006E623E"/>
    <w:rsid w:val="006F273C"/>
    <w:rsid w:val="007065B8"/>
    <w:rsid w:val="00710619"/>
    <w:rsid w:val="0071073C"/>
    <w:rsid w:val="007122D8"/>
    <w:rsid w:val="00716B96"/>
    <w:rsid w:val="00727238"/>
    <w:rsid w:val="00732AB9"/>
    <w:rsid w:val="007331E3"/>
    <w:rsid w:val="00734C2F"/>
    <w:rsid w:val="00737C54"/>
    <w:rsid w:val="00743AC6"/>
    <w:rsid w:val="00744AEE"/>
    <w:rsid w:val="007503E6"/>
    <w:rsid w:val="00751C13"/>
    <w:rsid w:val="00752288"/>
    <w:rsid w:val="007523D1"/>
    <w:rsid w:val="007531BD"/>
    <w:rsid w:val="007538BB"/>
    <w:rsid w:val="00754144"/>
    <w:rsid w:val="00757989"/>
    <w:rsid w:val="007601E8"/>
    <w:rsid w:val="00760A29"/>
    <w:rsid w:val="0076409D"/>
    <w:rsid w:val="0076510D"/>
    <w:rsid w:val="00765A5C"/>
    <w:rsid w:val="00766E00"/>
    <w:rsid w:val="007706A0"/>
    <w:rsid w:val="00771A4E"/>
    <w:rsid w:val="007807AF"/>
    <w:rsid w:val="007828B7"/>
    <w:rsid w:val="007867A5"/>
    <w:rsid w:val="00787085"/>
    <w:rsid w:val="007919C3"/>
    <w:rsid w:val="00793CFC"/>
    <w:rsid w:val="00797213"/>
    <w:rsid w:val="007A0132"/>
    <w:rsid w:val="007B377A"/>
    <w:rsid w:val="007B4090"/>
    <w:rsid w:val="007B50B0"/>
    <w:rsid w:val="007C4E06"/>
    <w:rsid w:val="007C57BA"/>
    <w:rsid w:val="007C5E7D"/>
    <w:rsid w:val="007D05E6"/>
    <w:rsid w:val="007D1931"/>
    <w:rsid w:val="007D625D"/>
    <w:rsid w:val="007E0766"/>
    <w:rsid w:val="007E363B"/>
    <w:rsid w:val="007E4C39"/>
    <w:rsid w:val="007E73BE"/>
    <w:rsid w:val="007F5430"/>
    <w:rsid w:val="007F549B"/>
    <w:rsid w:val="00811414"/>
    <w:rsid w:val="00815582"/>
    <w:rsid w:val="00816A08"/>
    <w:rsid w:val="00822D79"/>
    <w:rsid w:val="00824E28"/>
    <w:rsid w:val="008264EB"/>
    <w:rsid w:val="00827380"/>
    <w:rsid w:val="008311ED"/>
    <w:rsid w:val="008332FA"/>
    <w:rsid w:val="00834BBF"/>
    <w:rsid w:val="00840F56"/>
    <w:rsid w:val="00852673"/>
    <w:rsid w:val="008560ED"/>
    <w:rsid w:val="0085626C"/>
    <w:rsid w:val="008562B6"/>
    <w:rsid w:val="00856302"/>
    <w:rsid w:val="0085772D"/>
    <w:rsid w:val="00863EE8"/>
    <w:rsid w:val="00865AD4"/>
    <w:rsid w:val="00875201"/>
    <w:rsid w:val="00876881"/>
    <w:rsid w:val="00877A7A"/>
    <w:rsid w:val="008827E3"/>
    <w:rsid w:val="0088462B"/>
    <w:rsid w:val="008856A8"/>
    <w:rsid w:val="00886C5B"/>
    <w:rsid w:val="0088732F"/>
    <w:rsid w:val="0088747F"/>
    <w:rsid w:val="00887613"/>
    <w:rsid w:val="008921B8"/>
    <w:rsid w:val="00892E5B"/>
    <w:rsid w:val="00894701"/>
    <w:rsid w:val="0089613F"/>
    <w:rsid w:val="008A5A46"/>
    <w:rsid w:val="008B4211"/>
    <w:rsid w:val="008B455A"/>
    <w:rsid w:val="008B56A1"/>
    <w:rsid w:val="008B6244"/>
    <w:rsid w:val="008C0D63"/>
    <w:rsid w:val="008C0F5F"/>
    <w:rsid w:val="008C3D73"/>
    <w:rsid w:val="008C4CA7"/>
    <w:rsid w:val="008D0B56"/>
    <w:rsid w:val="008D12D5"/>
    <w:rsid w:val="008D6494"/>
    <w:rsid w:val="008E00FF"/>
    <w:rsid w:val="008E78DB"/>
    <w:rsid w:val="008F63BD"/>
    <w:rsid w:val="00900864"/>
    <w:rsid w:val="00906D4A"/>
    <w:rsid w:val="009076F0"/>
    <w:rsid w:val="0091047F"/>
    <w:rsid w:val="00911A9C"/>
    <w:rsid w:val="00911CB8"/>
    <w:rsid w:val="00914C18"/>
    <w:rsid w:val="00917FAB"/>
    <w:rsid w:val="00923D5C"/>
    <w:rsid w:val="00941922"/>
    <w:rsid w:val="00941B99"/>
    <w:rsid w:val="009426DE"/>
    <w:rsid w:val="009454F7"/>
    <w:rsid w:val="009523A6"/>
    <w:rsid w:val="00953BA6"/>
    <w:rsid w:val="00953FF6"/>
    <w:rsid w:val="00961686"/>
    <w:rsid w:val="00962C61"/>
    <w:rsid w:val="009643F5"/>
    <w:rsid w:val="00983CCF"/>
    <w:rsid w:val="00991A21"/>
    <w:rsid w:val="009A0420"/>
    <w:rsid w:val="009A2C25"/>
    <w:rsid w:val="009A678D"/>
    <w:rsid w:val="009A6D30"/>
    <w:rsid w:val="009B0EFC"/>
    <w:rsid w:val="009B7D8A"/>
    <w:rsid w:val="009C0052"/>
    <w:rsid w:val="009C05EB"/>
    <w:rsid w:val="009C39FC"/>
    <w:rsid w:val="009C6ECE"/>
    <w:rsid w:val="009D0A6F"/>
    <w:rsid w:val="009D156C"/>
    <w:rsid w:val="009D259B"/>
    <w:rsid w:val="009D4459"/>
    <w:rsid w:val="009D5B09"/>
    <w:rsid w:val="009E0DF0"/>
    <w:rsid w:val="009E2090"/>
    <w:rsid w:val="009E67B3"/>
    <w:rsid w:val="009F15E3"/>
    <w:rsid w:val="009F7194"/>
    <w:rsid w:val="00A04766"/>
    <w:rsid w:val="00A05DFB"/>
    <w:rsid w:val="00A07FC0"/>
    <w:rsid w:val="00A13E01"/>
    <w:rsid w:val="00A211B7"/>
    <w:rsid w:val="00A279DB"/>
    <w:rsid w:val="00A27C16"/>
    <w:rsid w:val="00A311BB"/>
    <w:rsid w:val="00A352BA"/>
    <w:rsid w:val="00A37646"/>
    <w:rsid w:val="00A406E0"/>
    <w:rsid w:val="00A40A4C"/>
    <w:rsid w:val="00A42AFE"/>
    <w:rsid w:val="00A4392E"/>
    <w:rsid w:val="00A43EAD"/>
    <w:rsid w:val="00A4512D"/>
    <w:rsid w:val="00A56503"/>
    <w:rsid w:val="00A57791"/>
    <w:rsid w:val="00A57FB8"/>
    <w:rsid w:val="00A6020D"/>
    <w:rsid w:val="00A6046D"/>
    <w:rsid w:val="00A624EC"/>
    <w:rsid w:val="00A64C0E"/>
    <w:rsid w:val="00A66F8E"/>
    <w:rsid w:val="00A67843"/>
    <w:rsid w:val="00A705AF"/>
    <w:rsid w:val="00A70AE0"/>
    <w:rsid w:val="00A72823"/>
    <w:rsid w:val="00A7449F"/>
    <w:rsid w:val="00A83D5C"/>
    <w:rsid w:val="00A911F5"/>
    <w:rsid w:val="00A930BD"/>
    <w:rsid w:val="00A93B49"/>
    <w:rsid w:val="00A94AEC"/>
    <w:rsid w:val="00AA6238"/>
    <w:rsid w:val="00AA66F7"/>
    <w:rsid w:val="00AA6D21"/>
    <w:rsid w:val="00AB0405"/>
    <w:rsid w:val="00AB55B0"/>
    <w:rsid w:val="00AC42AD"/>
    <w:rsid w:val="00AC4DCB"/>
    <w:rsid w:val="00AC50AA"/>
    <w:rsid w:val="00AC5519"/>
    <w:rsid w:val="00AD7714"/>
    <w:rsid w:val="00AE328C"/>
    <w:rsid w:val="00AE5469"/>
    <w:rsid w:val="00AF329F"/>
    <w:rsid w:val="00AF4DD6"/>
    <w:rsid w:val="00AF58BD"/>
    <w:rsid w:val="00AF73C4"/>
    <w:rsid w:val="00B000D4"/>
    <w:rsid w:val="00B032D6"/>
    <w:rsid w:val="00B044CB"/>
    <w:rsid w:val="00B063FD"/>
    <w:rsid w:val="00B07B73"/>
    <w:rsid w:val="00B12ABF"/>
    <w:rsid w:val="00B12B80"/>
    <w:rsid w:val="00B1316B"/>
    <w:rsid w:val="00B135D6"/>
    <w:rsid w:val="00B173A2"/>
    <w:rsid w:val="00B23937"/>
    <w:rsid w:val="00B2582B"/>
    <w:rsid w:val="00B26207"/>
    <w:rsid w:val="00B267FD"/>
    <w:rsid w:val="00B42851"/>
    <w:rsid w:val="00B44DF8"/>
    <w:rsid w:val="00B476F5"/>
    <w:rsid w:val="00B53731"/>
    <w:rsid w:val="00B539D2"/>
    <w:rsid w:val="00B5788F"/>
    <w:rsid w:val="00B67776"/>
    <w:rsid w:val="00B716AD"/>
    <w:rsid w:val="00B71897"/>
    <w:rsid w:val="00B729F5"/>
    <w:rsid w:val="00B73C29"/>
    <w:rsid w:val="00B76845"/>
    <w:rsid w:val="00B82778"/>
    <w:rsid w:val="00B83F77"/>
    <w:rsid w:val="00B84CC3"/>
    <w:rsid w:val="00B90FFF"/>
    <w:rsid w:val="00B935BF"/>
    <w:rsid w:val="00BA03F6"/>
    <w:rsid w:val="00BA5BC1"/>
    <w:rsid w:val="00BA6107"/>
    <w:rsid w:val="00BB10D8"/>
    <w:rsid w:val="00BB1131"/>
    <w:rsid w:val="00BB1305"/>
    <w:rsid w:val="00BB4E94"/>
    <w:rsid w:val="00BB7366"/>
    <w:rsid w:val="00BC220E"/>
    <w:rsid w:val="00BC4927"/>
    <w:rsid w:val="00BC7094"/>
    <w:rsid w:val="00BD47B3"/>
    <w:rsid w:val="00BD6DF1"/>
    <w:rsid w:val="00BD713B"/>
    <w:rsid w:val="00BE0339"/>
    <w:rsid w:val="00BE13A7"/>
    <w:rsid w:val="00BE4E19"/>
    <w:rsid w:val="00BE6346"/>
    <w:rsid w:val="00BE6B60"/>
    <w:rsid w:val="00BE74A9"/>
    <w:rsid w:val="00BE74AA"/>
    <w:rsid w:val="00BF1986"/>
    <w:rsid w:val="00BF2497"/>
    <w:rsid w:val="00BF7C8A"/>
    <w:rsid w:val="00C07268"/>
    <w:rsid w:val="00C0733A"/>
    <w:rsid w:val="00C117DD"/>
    <w:rsid w:val="00C128E7"/>
    <w:rsid w:val="00C1318A"/>
    <w:rsid w:val="00C13AF8"/>
    <w:rsid w:val="00C1444D"/>
    <w:rsid w:val="00C1477E"/>
    <w:rsid w:val="00C1722E"/>
    <w:rsid w:val="00C17969"/>
    <w:rsid w:val="00C22D79"/>
    <w:rsid w:val="00C2419A"/>
    <w:rsid w:val="00C24647"/>
    <w:rsid w:val="00C24B46"/>
    <w:rsid w:val="00C272FC"/>
    <w:rsid w:val="00C332DB"/>
    <w:rsid w:val="00C34C53"/>
    <w:rsid w:val="00C36AE3"/>
    <w:rsid w:val="00C43D2D"/>
    <w:rsid w:val="00C476B3"/>
    <w:rsid w:val="00C51982"/>
    <w:rsid w:val="00C53216"/>
    <w:rsid w:val="00C54B8C"/>
    <w:rsid w:val="00C56BC3"/>
    <w:rsid w:val="00C57099"/>
    <w:rsid w:val="00C576E9"/>
    <w:rsid w:val="00C63FA3"/>
    <w:rsid w:val="00C646DF"/>
    <w:rsid w:val="00C66D3C"/>
    <w:rsid w:val="00C67326"/>
    <w:rsid w:val="00C71564"/>
    <w:rsid w:val="00C76836"/>
    <w:rsid w:val="00C8417A"/>
    <w:rsid w:val="00C91445"/>
    <w:rsid w:val="00C9582A"/>
    <w:rsid w:val="00C9707A"/>
    <w:rsid w:val="00CA52F8"/>
    <w:rsid w:val="00CA6409"/>
    <w:rsid w:val="00CA72B2"/>
    <w:rsid w:val="00CB0597"/>
    <w:rsid w:val="00CB2355"/>
    <w:rsid w:val="00CB5B1A"/>
    <w:rsid w:val="00CB5FDD"/>
    <w:rsid w:val="00CD1C72"/>
    <w:rsid w:val="00CD242F"/>
    <w:rsid w:val="00CD6606"/>
    <w:rsid w:val="00CD68FD"/>
    <w:rsid w:val="00CE5062"/>
    <w:rsid w:val="00CE70B2"/>
    <w:rsid w:val="00CF2D7F"/>
    <w:rsid w:val="00CF485F"/>
    <w:rsid w:val="00CF54E6"/>
    <w:rsid w:val="00CF760C"/>
    <w:rsid w:val="00D01E97"/>
    <w:rsid w:val="00D0458E"/>
    <w:rsid w:val="00D217F1"/>
    <w:rsid w:val="00D247C3"/>
    <w:rsid w:val="00D30BCF"/>
    <w:rsid w:val="00D31A5D"/>
    <w:rsid w:val="00D353B3"/>
    <w:rsid w:val="00D44BED"/>
    <w:rsid w:val="00D52839"/>
    <w:rsid w:val="00D5583F"/>
    <w:rsid w:val="00D55D4B"/>
    <w:rsid w:val="00D55EAC"/>
    <w:rsid w:val="00D57DD5"/>
    <w:rsid w:val="00D61211"/>
    <w:rsid w:val="00D70042"/>
    <w:rsid w:val="00D836CF"/>
    <w:rsid w:val="00D84650"/>
    <w:rsid w:val="00D861BD"/>
    <w:rsid w:val="00D93D27"/>
    <w:rsid w:val="00DA3875"/>
    <w:rsid w:val="00DA6F0E"/>
    <w:rsid w:val="00DA75F8"/>
    <w:rsid w:val="00DA787F"/>
    <w:rsid w:val="00DA7A8A"/>
    <w:rsid w:val="00DB25D1"/>
    <w:rsid w:val="00DB61A4"/>
    <w:rsid w:val="00DB7E60"/>
    <w:rsid w:val="00DC2611"/>
    <w:rsid w:val="00DC4555"/>
    <w:rsid w:val="00DC783F"/>
    <w:rsid w:val="00DD0361"/>
    <w:rsid w:val="00DD1082"/>
    <w:rsid w:val="00DD21C3"/>
    <w:rsid w:val="00DD2778"/>
    <w:rsid w:val="00DD4CC0"/>
    <w:rsid w:val="00DD6DE1"/>
    <w:rsid w:val="00DE3F5E"/>
    <w:rsid w:val="00DE4003"/>
    <w:rsid w:val="00DE5328"/>
    <w:rsid w:val="00DF18D9"/>
    <w:rsid w:val="00DF265D"/>
    <w:rsid w:val="00DF43CF"/>
    <w:rsid w:val="00E02961"/>
    <w:rsid w:val="00E04F84"/>
    <w:rsid w:val="00E05D8F"/>
    <w:rsid w:val="00E06030"/>
    <w:rsid w:val="00E1199E"/>
    <w:rsid w:val="00E11D16"/>
    <w:rsid w:val="00E16DFA"/>
    <w:rsid w:val="00E25688"/>
    <w:rsid w:val="00E2693C"/>
    <w:rsid w:val="00E2698D"/>
    <w:rsid w:val="00E27E0E"/>
    <w:rsid w:val="00E3543A"/>
    <w:rsid w:val="00E37518"/>
    <w:rsid w:val="00E377A8"/>
    <w:rsid w:val="00E43078"/>
    <w:rsid w:val="00E445C3"/>
    <w:rsid w:val="00E47410"/>
    <w:rsid w:val="00E52298"/>
    <w:rsid w:val="00E5779F"/>
    <w:rsid w:val="00E5799E"/>
    <w:rsid w:val="00E60A8D"/>
    <w:rsid w:val="00E63275"/>
    <w:rsid w:val="00E6493C"/>
    <w:rsid w:val="00E653FA"/>
    <w:rsid w:val="00E6724B"/>
    <w:rsid w:val="00E75DED"/>
    <w:rsid w:val="00E807A5"/>
    <w:rsid w:val="00E83A1F"/>
    <w:rsid w:val="00E86674"/>
    <w:rsid w:val="00E9308D"/>
    <w:rsid w:val="00E955D6"/>
    <w:rsid w:val="00EA2DF1"/>
    <w:rsid w:val="00EA2F49"/>
    <w:rsid w:val="00EA4876"/>
    <w:rsid w:val="00EA4F8B"/>
    <w:rsid w:val="00EB310B"/>
    <w:rsid w:val="00EB3A68"/>
    <w:rsid w:val="00EB3A98"/>
    <w:rsid w:val="00EB50E4"/>
    <w:rsid w:val="00EB7B9D"/>
    <w:rsid w:val="00EC0678"/>
    <w:rsid w:val="00EC3ECD"/>
    <w:rsid w:val="00EC7F70"/>
    <w:rsid w:val="00ED14E8"/>
    <w:rsid w:val="00ED176A"/>
    <w:rsid w:val="00ED1831"/>
    <w:rsid w:val="00ED1CA3"/>
    <w:rsid w:val="00ED1E84"/>
    <w:rsid w:val="00ED21BB"/>
    <w:rsid w:val="00ED2A03"/>
    <w:rsid w:val="00ED3EF1"/>
    <w:rsid w:val="00ED523D"/>
    <w:rsid w:val="00ED7EDB"/>
    <w:rsid w:val="00EE038D"/>
    <w:rsid w:val="00EE283D"/>
    <w:rsid w:val="00EE2A31"/>
    <w:rsid w:val="00EE4F51"/>
    <w:rsid w:val="00EE5DE7"/>
    <w:rsid w:val="00EE60F6"/>
    <w:rsid w:val="00EF0FC5"/>
    <w:rsid w:val="00EF6B82"/>
    <w:rsid w:val="00F00630"/>
    <w:rsid w:val="00F05488"/>
    <w:rsid w:val="00F05FB0"/>
    <w:rsid w:val="00F13285"/>
    <w:rsid w:val="00F20FFF"/>
    <w:rsid w:val="00F2282E"/>
    <w:rsid w:val="00F22948"/>
    <w:rsid w:val="00F267D3"/>
    <w:rsid w:val="00F30067"/>
    <w:rsid w:val="00F35E3B"/>
    <w:rsid w:val="00F406EE"/>
    <w:rsid w:val="00F40CDF"/>
    <w:rsid w:val="00F422DA"/>
    <w:rsid w:val="00F464A6"/>
    <w:rsid w:val="00F50472"/>
    <w:rsid w:val="00F5564E"/>
    <w:rsid w:val="00F56250"/>
    <w:rsid w:val="00F57F81"/>
    <w:rsid w:val="00F7036E"/>
    <w:rsid w:val="00F7078B"/>
    <w:rsid w:val="00F709C3"/>
    <w:rsid w:val="00F72009"/>
    <w:rsid w:val="00F72EF7"/>
    <w:rsid w:val="00F75D7C"/>
    <w:rsid w:val="00F75F6C"/>
    <w:rsid w:val="00F77159"/>
    <w:rsid w:val="00F81508"/>
    <w:rsid w:val="00F81A53"/>
    <w:rsid w:val="00F84B5A"/>
    <w:rsid w:val="00F853FC"/>
    <w:rsid w:val="00F864EC"/>
    <w:rsid w:val="00F90943"/>
    <w:rsid w:val="00F94F62"/>
    <w:rsid w:val="00F97087"/>
    <w:rsid w:val="00F9769A"/>
    <w:rsid w:val="00FA2809"/>
    <w:rsid w:val="00FB1E1E"/>
    <w:rsid w:val="00FB2892"/>
    <w:rsid w:val="00FB76E7"/>
    <w:rsid w:val="00FC2C05"/>
    <w:rsid w:val="00FD20D8"/>
    <w:rsid w:val="00FD22C7"/>
    <w:rsid w:val="00FE0D07"/>
    <w:rsid w:val="00FE3CE6"/>
    <w:rsid w:val="00FE697A"/>
    <w:rsid w:val="00FF4F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1D16"/>
    <w:pPr>
      <w:spacing w:after="120" w:line="280" w:lineRule="atLeast"/>
    </w:pPr>
    <w:rPr>
      <w:rFonts w:ascii="Century Gothic" w:hAnsi="Century Gothic"/>
      <w:sz w:val="22"/>
      <w:szCs w:val="24"/>
      <w:lang w:eastAsia="en-US"/>
    </w:rPr>
  </w:style>
  <w:style w:type="paragraph" w:styleId="Heading1">
    <w:name w:val="heading 1"/>
    <w:basedOn w:val="Normal"/>
    <w:next w:val="Normal"/>
    <w:qFormat/>
    <w:rsid w:val="00EE2A31"/>
    <w:pPr>
      <w:keepNext/>
      <w:spacing w:before="240" w:after="360"/>
      <w:outlineLvl w:val="0"/>
    </w:pPr>
    <w:rPr>
      <w:rFonts w:cs="Arial"/>
      <w:bCs/>
      <w:color w:val="000000" w:themeColor="text1"/>
      <w:kern w:val="28"/>
      <w:sz w:val="30"/>
      <w:szCs w:val="32"/>
      <w:u w:val="single"/>
    </w:rPr>
  </w:style>
  <w:style w:type="paragraph" w:styleId="Heading2">
    <w:name w:val="heading 2"/>
    <w:basedOn w:val="Normal"/>
    <w:next w:val="Normal"/>
    <w:link w:val="Heading2Char"/>
    <w:qFormat/>
    <w:rsid w:val="00EE2A31"/>
    <w:pPr>
      <w:keepNext/>
      <w:spacing w:before="360" w:after="240"/>
      <w:outlineLvl w:val="1"/>
    </w:pPr>
    <w:rPr>
      <w:rFonts w:cs="Arial"/>
      <w:bCs/>
      <w:iCs/>
      <w:color w:val="000000" w:themeColor="text1"/>
      <w:sz w:val="28"/>
      <w:szCs w:val="28"/>
    </w:rPr>
  </w:style>
  <w:style w:type="paragraph" w:styleId="Heading3">
    <w:name w:val="heading 3"/>
    <w:basedOn w:val="Normal"/>
    <w:next w:val="Normal"/>
    <w:qFormat/>
    <w:rsid w:val="00A705AF"/>
    <w:pPr>
      <w:keepNext/>
      <w:spacing w:before="240" w:after="60"/>
      <w:outlineLvl w:val="2"/>
    </w:pPr>
    <w:rPr>
      <w:rFonts w:ascii="Arial" w:hAnsi="Arial" w:cs="Arial"/>
      <w:bCs/>
      <w:szCs w:val="26"/>
    </w:rPr>
  </w:style>
  <w:style w:type="paragraph" w:styleId="Heading4">
    <w:name w:val="heading 4"/>
    <w:basedOn w:val="Normal"/>
    <w:next w:val="Normal"/>
    <w:qFormat/>
    <w:rsid w:val="00A705AF"/>
    <w:pPr>
      <w:keepNext/>
      <w:spacing w:before="240" w:after="60"/>
      <w:outlineLvl w:val="3"/>
    </w:pPr>
    <w:rPr>
      <w:rFonts w:ascii="Arial" w:hAnsi="Arial"/>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rsid w:val="008560ED"/>
    <w:pPr>
      <w:spacing w:after="160"/>
    </w:pPr>
    <w:rPr>
      <w:rFonts w:eastAsiaTheme="majorEastAsia" w:cstheme="majorBidi"/>
      <w:b/>
      <w:iCs/>
      <w:color w:val="004376"/>
      <w:spacing w:val="15"/>
    </w:rPr>
  </w:style>
  <w:style w:type="character" w:customStyle="1" w:styleId="SubtitleChar">
    <w:name w:val="Subtitle Char"/>
    <w:basedOn w:val="DefaultParagraphFont"/>
    <w:link w:val="Subtitle"/>
    <w:rsid w:val="008560ED"/>
    <w:rPr>
      <w:rFonts w:ascii="Century Gothic" w:eastAsiaTheme="majorEastAsia" w:hAnsi="Century Gothic" w:cstheme="majorBidi"/>
      <w:b/>
      <w:iCs/>
      <w:color w:val="004376"/>
      <w:spacing w:val="15"/>
      <w:sz w:val="22"/>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7122D8"/>
    <w:rPr>
      <w:i/>
      <w:iCs/>
      <w:color w:val="404040" w:themeColor="text1" w:themeTint="BF"/>
    </w:rPr>
  </w:style>
  <w:style w:type="character" w:customStyle="1" w:styleId="QuoteChar">
    <w:name w:val="Quote Char"/>
    <w:basedOn w:val="DefaultParagraphFont"/>
    <w:link w:val="Quote"/>
    <w:uiPriority w:val="29"/>
    <w:rsid w:val="007122D8"/>
    <w:rPr>
      <w:rFonts w:ascii="Century Gothic" w:hAnsi="Century Gothic"/>
      <w:i/>
      <w:iCs/>
      <w:color w:val="404040" w:themeColor="text1" w:themeTint="BF"/>
      <w:sz w:val="22"/>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9A6D30"/>
    <w:rPr>
      <w:b/>
      <w:bCs/>
      <w:i/>
      <w:smallCaps/>
      <w:color w:val="F79646" w:themeColor="accent6"/>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uiPriority w:val="34"/>
    <w:qFormat/>
    <w:rsid w:val="00A93B49"/>
    <w:pPr>
      <w:spacing w:before="120"/>
      <w:ind w:left="720"/>
      <w:contextualSpacing/>
    </w:pPr>
  </w:style>
  <w:style w:type="paragraph" w:styleId="Header">
    <w:name w:val="header"/>
    <w:basedOn w:val="Normal"/>
    <w:link w:val="HeaderChar"/>
    <w:uiPriority w:val="99"/>
    <w:rsid w:val="00EC3ECD"/>
    <w:pPr>
      <w:tabs>
        <w:tab w:val="center" w:pos="4513"/>
        <w:tab w:val="right" w:pos="9026"/>
      </w:tabs>
    </w:pPr>
  </w:style>
  <w:style w:type="character" w:customStyle="1" w:styleId="HeaderChar">
    <w:name w:val="Header Char"/>
    <w:basedOn w:val="DefaultParagraphFont"/>
    <w:link w:val="Header"/>
    <w:uiPriority w:val="99"/>
    <w:rsid w:val="00EC3ECD"/>
    <w:rPr>
      <w:sz w:val="24"/>
      <w:szCs w:val="24"/>
      <w:lang w:eastAsia="en-US"/>
    </w:rPr>
  </w:style>
  <w:style w:type="paragraph" w:styleId="Footer">
    <w:name w:val="footer"/>
    <w:basedOn w:val="Normal"/>
    <w:link w:val="FooterChar"/>
    <w:uiPriority w:val="99"/>
    <w:rsid w:val="00EC3ECD"/>
    <w:pPr>
      <w:tabs>
        <w:tab w:val="center" w:pos="4513"/>
        <w:tab w:val="right" w:pos="9026"/>
      </w:tabs>
    </w:pPr>
  </w:style>
  <w:style w:type="character" w:customStyle="1" w:styleId="FooterChar">
    <w:name w:val="Footer Char"/>
    <w:basedOn w:val="DefaultParagraphFont"/>
    <w:link w:val="Footer"/>
    <w:uiPriority w:val="99"/>
    <w:rsid w:val="00EC3ECD"/>
    <w:rPr>
      <w:sz w:val="24"/>
      <w:szCs w:val="24"/>
      <w:lang w:eastAsia="en-US"/>
    </w:rPr>
  </w:style>
  <w:style w:type="paragraph" w:styleId="BalloonText">
    <w:name w:val="Balloon Text"/>
    <w:basedOn w:val="Normal"/>
    <w:link w:val="BalloonTextChar"/>
    <w:rsid w:val="00EC3ECD"/>
    <w:rPr>
      <w:rFonts w:ascii="Tahoma" w:hAnsi="Tahoma" w:cs="Tahoma"/>
      <w:sz w:val="16"/>
      <w:szCs w:val="16"/>
    </w:rPr>
  </w:style>
  <w:style w:type="character" w:customStyle="1" w:styleId="BalloonTextChar">
    <w:name w:val="Balloon Text Char"/>
    <w:basedOn w:val="DefaultParagraphFont"/>
    <w:link w:val="BalloonText"/>
    <w:rsid w:val="00EC3ECD"/>
    <w:rPr>
      <w:rFonts w:ascii="Tahoma" w:hAnsi="Tahoma" w:cs="Tahoma"/>
      <w:sz w:val="16"/>
      <w:szCs w:val="16"/>
      <w:lang w:eastAsia="en-US"/>
    </w:rPr>
  </w:style>
  <w:style w:type="character" w:styleId="Hyperlink">
    <w:name w:val="Hyperlink"/>
    <w:basedOn w:val="DefaultParagraphFont"/>
    <w:uiPriority w:val="99"/>
    <w:rsid w:val="009643F5"/>
    <w:rPr>
      <w:color w:val="F79646" w:themeColor="hyperlink"/>
      <w:u w:val="single"/>
    </w:rPr>
  </w:style>
  <w:style w:type="paragraph" w:styleId="TOCHeading">
    <w:name w:val="TOC Heading"/>
    <w:basedOn w:val="Heading1"/>
    <w:next w:val="Normal"/>
    <w:uiPriority w:val="39"/>
    <w:semiHidden/>
    <w:unhideWhenUsed/>
    <w:qFormat/>
    <w:rsid w:val="00E37518"/>
    <w:pPr>
      <w:keepLines/>
      <w:spacing w:before="480" w:after="0" w:line="276" w:lineRule="auto"/>
      <w:outlineLvl w:val="9"/>
    </w:pPr>
    <w:rPr>
      <w:rFonts w:asciiTheme="majorHAnsi" w:eastAsiaTheme="majorEastAsia" w:hAnsiTheme="majorHAnsi" w:cstheme="majorBidi"/>
      <w:color w:val="365F91" w:themeColor="accent1" w:themeShade="BF"/>
      <w:kern w:val="0"/>
      <w:szCs w:val="28"/>
      <w:u w:val="none"/>
      <w:lang w:val="en-US" w:eastAsia="ja-JP"/>
    </w:rPr>
  </w:style>
  <w:style w:type="paragraph" w:styleId="TOC1">
    <w:name w:val="toc 1"/>
    <w:basedOn w:val="Normal"/>
    <w:next w:val="Normal"/>
    <w:autoRedefine/>
    <w:uiPriority w:val="39"/>
    <w:qFormat/>
    <w:rsid w:val="004A563A"/>
    <w:pPr>
      <w:tabs>
        <w:tab w:val="right" w:leader="dot" w:pos="8296"/>
      </w:tabs>
      <w:spacing w:after="100"/>
    </w:pPr>
  </w:style>
  <w:style w:type="paragraph" w:styleId="TOC2">
    <w:name w:val="toc 2"/>
    <w:basedOn w:val="Normal"/>
    <w:next w:val="Normal"/>
    <w:autoRedefine/>
    <w:uiPriority w:val="39"/>
    <w:qFormat/>
    <w:rsid w:val="00886C5B"/>
    <w:pPr>
      <w:tabs>
        <w:tab w:val="right" w:leader="dot" w:pos="8364"/>
      </w:tabs>
      <w:spacing w:after="100"/>
      <w:ind w:left="220" w:right="-241"/>
    </w:pPr>
  </w:style>
  <w:style w:type="table" w:styleId="TableGrid">
    <w:name w:val="Table Grid"/>
    <w:basedOn w:val="TableNormal"/>
    <w:rsid w:val="006260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A70AE0"/>
    <w:pPr>
      <w:spacing w:after="60"/>
    </w:pPr>
    <w:rPr>
      <w:bCs/>
      <w:color w:val="404040" w:themeColor="text1" w:themeTint="BF"/>
      <w:sz w:val="20"/>
      <w:szCs w:val="18"/>
    </w:rPr>
  </w:style>
  <w:style w:type="paragraph" w:styleId="TableofFigures">
    <w:name w:val="table of figures"/>
    <w:basedOn w:val="Normal"/>
    <w:next w:val="Normal"/>
    <w:uiPriority w:val="99"/>
    <w:rsid w:val="00626074"/>
    <w:pPr>
      <w:spacing w:after="0"/>
    </w:pPr>
    <w:rPr>
      <w:color w:val="790C09"/>
    </w:rPr>
  </w:style>
  <w:style w:type="character" w:styleId="CommentReference">
    <w:name w:val="annotation reference"/>
    <w:basedOn w:val="DefaultParagraphFont"/>
    <w:rsid w:val="005B79EE"/>
    <w:rPr>
      <w:sz w:val="16"/>
      <w:szCs w:val="16"/>
    </w:rPr>
  </w:style>
  <w:style w:type="paragraph" w:styleId="CommentText">
    <w:name w:val="annotation text"/>
    <w:basedOn w:val="Normal"/>
    <w:link w:val="CommentTextChar"/>
    <w:rsid w:val="005B79EE"/>
    <w:rPr>
      <w:sz w:val="20"/>
      <w:szCs w:val="20"/>
    </w:rPr>
  </w:style>
  <w:style w:type="character" w:customStyle="1" w:styleId="CommentTextChar">
    <w:name w:val="Comment Text Char"/>
    <w:basedOn w:val="DefaultParagraphFont"/>
    <w:link w:val="CommentText"/>
    <w:rsid w:val="005B79EE"/>
    <w:rPr>
      <w:rFonts w:ascii="Century Gothic" w:hAnsi="Century Gothic"/>
      <w:lang w:eastAsia="en-US"/>
    </w:rPr>
  </w:style>
  <w:style w:type="paragraph" w:styleId="CommentSubject">
    <w:name w:val="annotation subject"/>
    <w:basedOn w:val="CommentText"/>
    <w:next w:val="CommentText"/>
    <w:link w:val="CommentSubjectChar"/>
    <w:rsid w:val="005B79EE"/>
    <w:rPr>
      <w:b/>
      <w:bCs/>
    </w:rPr>
  </w:style>
  <w:style w:type="character" w:customStyle="1" w:styleId="CommentSubjectChar">
    <w:name w:val="Comment Subject Char"/>
    <w:basedOn w:val="CommentTextChar"/>
    <w:link w:val="CommentSubject"/>
    <w:rsid w:val="005B79EE"/>
    <w:rPr>
      <w:rFonts w:ascii="Century Gothic" w:hAnsi="Century Gothic"/>
      <w:b/>
      <w:bCs/>
      <w:lang w:eastAsia="en-US"/>
    </w:rPr>
  </w:style>
  <w:style w:type="paragraph" w:styleId="EndnoteText">
    <w:name w:val="endnote text"/>
    <w:basedOn w:val="Normal"/>
    <w:link w:val="EndnoteTextChar"/>
    <w:rsid w:val="005B79EE"/>
    <w:pPr>
      <w:spacing w:after="0"/>
    </w:pPr>
    <w:rPr>
      <w:sz w:val="20"/>
      <w:szCs w:val="20"/>
    </w:rPr>
  </w:style>
  <w:style w:type="character" w:customStyle="1" w:styleId="EndnoteTextChar">
    <w:name w:val="Endnote Text Char"/>
    <w:basedOn w:val="DefaultParagraphFont"/>
    <w:link w:val="EndnoteText"/>
    <w:rsid w:val="005B79EE"/>
    <w:rPr>
      <w:rFonts w:ascii="Century Gothic" w:hAnsi="Century Gothic"/>
      <w:lang w:eastAsia="en-US"/>
    </w:rPr>
  </w:style>
  <w:style w:type="character" w:styleId="EndnoteReference">
    <w:name w:val="endnote reference"/>
    <w:basedOn w:val="DefaultParagraphFont"/>
    <w:rsid w:val="005B79EE"/>
    <w:rPr>
      <w:vertAlign w:val="superscript"/>
    </w:rPr>
  </w:style>
  <w:style w:type="paragraph" w:styleId="FootnoteText">
    <w:name w:val="footnote text"/>
    <w:basedOn w:val="Normal"/>
    <w:link w:val="FootnoteTextChar"/>
    <w:rsid w:val="005B79EE"/>
    <w:pPr>
      <w:spacing w:after="0"/>
    </w:pPr>
    <w:rPr>
      <w:sz w:val="20"/>
      <w:szCs w:val="20"/>
    </w:rPr>
  </w:style>
  <w:style w:type="character" w:customStyle="1" w:styleId="FootnoteTextChar">
    <w:name w:val="Footnote Text Char"/>
    <w:basedOn w:val="DefaultParagraphFont"/>
    <w:link w:val="FootnoteText"/>
    <w:rsid w:val="005B79EE"/>
    <w:rPr>
      <w:rFonts w:ascii="Century Gothic" w:hAnsi="Century Gothic"/>
      <w:lang w:eastAsia="en-US"/>
    </w:rPr>
  </w:style>
  <w:style w:type="character" w:styleId="FootnoteReference">
    <w:name w:val="footnote reference"/>
    <w:basedOn w:val="DefaultParagraphFont"/>
    <w:rsid w:val="005B79EE"/>
    <w:rPr>
      <w:vertAlign w:val="superscript"/>
    </w:rPr>
  </w:style>
  <w:style w:type="paragraph" w:styleId="NormalWeb">
    <w:name w:val="Normal (Web)"/>
    <w:basedOn w:val="Normal"/>
    <w:uiPriority w:val="99"/>
    <w:unhideWhenUsed/>
    <w:rsid w:val="001E72DE"/>
    <w:pPr>
      <w:spacing w:before="100" w:beforeAutospacing="1" w:after="100" w:afterAutospacing="1"/>
    </w:pPr>
    <w:rPr>
      <w:rFonts w:ascii="Times New Roman" w:hAnsi="Times New Roman"/>
      <w:sz w:val="24"/>
      <w:lang w:eastAsia="en-AU"/>
    </w:rPr>
  </w:style>
  <w:style w:type="character" w:styleId="FollowedHyperlink">
    <w:name w:val="FollowedHyperlink"/>
    <w:basedOn w:val="DefaultParagraphFont"/>
    <w:rsid w:val="00101E5C"/>
    <w:rPr>
      <w:color w:val="800080" w:themeColor="followedHyperlink"/>
      <w:u w:val="single"/>
    </w:rPr>
  </w:style>
  <w:style w:type="paragraph" w:styleId="TOC3">
    <w:name w:val="toc 3"/>
    <w:basedOn w:val="Normal"/>
    <w:next w:val="Normal"/>
    <w:autoRedefine/>
    <w:uiPriority w:val="39"/>
    <w:unhideWhenUsed/>
    <w:qFormat/>
    <w:rsid w:val="00363679"/>
    <w:pPr>
      <w:spacing w:after="100" w:line="276" w:lineRule="auto"/>
      <w:ind w:left="440"/>
    </w:pPr>
    <w:rPr>
      <w:rFonts w:asciiTheme="minorHAnsi" w:eastAsiaTheme="minorEastAsia" w:hAnsiTheme="minorHAnsi" w:cstheme="minorBidi"/>
      <w:szCs w:val="22"/>
      <w:lang w:val="en-US" w:eastAsia="ja-JP"/>
    </w:rPr>
  </w:style>
  <w:style w:type="character" w:customStyle="1" w:styleId="Heading2Char">
    <w:name w:val="Heading 2 Char"/>
    <w:basedOn w:val="DefaultParagraphFont"/>
    <w:link w:val="Heading2"/>
    <w:rsid w:val="00EE2A31"/>
    <w:rPr>
      <w:rFonts w:ascii="Century Gothic" w:hAnsi="Century Gothic" w:cs="Arial"/>
      <w:bCs/>
      <w:iCs/>
      <w:color w:val="000000" w:themeColor="text1"/>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1D16"/>
    <w:pPr>
      <w:spacing w:after="120" w:line="280" w:lineRule="atLeast"/>
    </w:pPr>
    <w:rPr>
      <w:rFonts w:ascii="Century Gothic" w:hAnsi="Century Gothic"/>
      <w:sz w:val="22"/>
      <w:szCs w:val="24"/>
      <w:lang w:eastAsia="en-US"/>
    </w:rPr>
  </w:style>
  <w:style w:type="paragraph" w:styleId="Heading1">
    <w:name w:val="heading 1"/>
    <w:basedOn w:val="Normal"/>
    <w:next w:val="Normal"/>
    <w:qFormat/>
    <w:rsid w:val="00EE2A31"/>
    <w:pPr>
      <w:keepNext/>
      <w:spacing w:before="240" w:after="360"/>
      <w:outlineLvl w:val="0"/>
    </w:pPr>
    <w:rPr>
      <w:rFonts w:cs="Arial"/>
      <w:bCs/>
      <w:color w:val="000000" w:themeColor="text1"/>
      <w:kern w:val="28"/>
      <w:sz w:val="30"/>
      <w:szCs w:val="32"/>
      <w:u w:val="single"/>
    </w:rPr>
  </w:style>
  <w:style w:type="paragraph" w:styleId="Heading2">
    <w:name w:val="heading 2"/>
    <w:basedOn w:val="Normal"/>
    <w:next w:val="Normal"/>
    <w:link w:val="Heading2Char"/>
    <w:qFormat/>
    <w:rsid w:val="00EE2A31"/>
    <w:pPr>
      <w:keepNext/>
      <w:spacing w:before="360" w:after="240"/>
      <w:outlineLvl w:val="1"/>
    </w:pPr>
    <w:rPr>
      <w:rFonts w:cs="Arial"/>
      <w:bCs/>
      <w:iCs/>
      <w:color w:val="000000" w:themeColor="text1"/>
      <w:sz w:val="28"/>
      <w:szCs w:val="28"/>
    </w:rPr>
  </w:style>
  <w:style w:type="paragraph" w:styleId="Heading3">
    <w:name w:val="heading 3"/>
    <w:basedOn w:val="Normal"/>
    <w:next w:val="Normal"/>
    <w:qFormat/>
    <w:rsid w:val="00A705AF"/>
    <w:pPr>
      <w:keepNext/>
      <w:spacing w:before="240" w:after="60"/>
      <w:outlineLvl w:val="2"/>
    </w:pPr>
    <w:rPr>
      <w:rFonts w:ascii="Arial" w:hAnsi="Arial" w:cs="Arial"/>
      <w:bCs/>
      <w:szCs w:val="26"/>
    </w:rPr>
  </w:style>
  <w:style w:type="paragraph" w:styleId="Heading4">
    <w:name w:val="heading 4"/>
    <w:basedOn w:val="Normal"/>
    <w:next w:val="Normal"/>
    <w:qFormat/>
    <w:rsid w:val="00A705AF"/>
    <w:pPr>
      <w:keepNext/>
      <w:spacing w:before="240" w:after="60"/>
      <w:outlineLvl w:val="3"/>
    </w:pPr>
    <w:rPr>
      <w:rFonts w:ascii="Arial" w:hAnsi="Arial"/>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rsid w:val="008560ED"/>
    <w:pPr>
      <w:spacing w:after="160"/>
    </w:pPr>
    <w:rPr>
      <w:rFonts w:eastAsiaTheme="majorEastAsia" w:cstheme="majorBidi"/>
      <w:b/>
      <w:iCs/>
      <w:color w:val="004376"/>
      <w:spacing w:val="15"/>
    </w:rPr>
  </w:style>
  <w:style w:type="character" w:customStyle="1" w:styleId="SubtitleChar">
    <w:name w:val="Subtitle Char"/>
    <w:basedOn w:val="DefaultParagraphFont"/>
    <w:link w:val="Subtitle"/>
    <w:rsid w:val="008560ED"/>
    <w:rPr>
      <w:rFonts w:ascii="Century Gothic" w:eastAsiaTheme="majorEastAsia" w:hAnsi="Century Gothic" w:cstheme="majorBidi"/>
      <w:b/>
      <w:iCs/>
      <w:color w:val="004376"/>
      <w:spacing w:val="15"/>
      <w:sz w:val="22"/>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7122D8"/>
    <w:rPr>
      <w:i/>
      <w:iCs/>
      <w:color w:val="404040" w:themeColor="text1" w:themeTint="BF"/>
    </w:rPr>
  </w:style>
  <w:style w:type="character" w:customStyle="1" w:styleId="QuoteChar">
    <w:name w:val="Quote Char"/>
    <w:basedOn w:val="DefaultParagraphFont"/>
    <w:link w:val="Quote"/>
    <w:uiPriority w:val="29"/>
    <w:rsid w:val="007122D8"/>
    <w:rPr>
      <w:rFonts w:ascii="Century Gothic" w:hAnsi="Century Gothic"/>
      <w:i/>
      <w:iCs/>
      <w:color w:val="404040" w:themeColor="text1" w:themeTint="BF"/>
      <w:sz w:val="22"/>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9A6D30"/>
    <w:rPr>
      <w:b/>
      <w:bCs/>
      <w:i/>
      <w:smallCaps/>
      <w:color w:val="F79646" w:themeColor="accent6"/>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uiPriority w:val="34"/>
    <w:qFormat/>
    <w:rsid w:val="00A93B49"/>
    <w:pPr>
      <w:spacing w:before="120"/>
      <w:ind w:left="720"/>
      <w:contextualSpacing/>
    </w:pPr>
  </w:style>
  <w:style w:type="paragraph" w:styleId="Header">
    <w:name w:val="header"/>
    <w:basedOn w:val="Normal"/>
    <w:link w:val="HeaderChar"/>
    <w:uiPriority w:val="99"/>
    <w:rsid w:val="00EC3ECD"/>
    <w:pPr>
      <w:tabs>
        <w:tab w:val="center" w:pos="4513"/>
        <w:tab w:val="right" w:pos="9026"/>
      </w:tabs>
    </w:pPr>
  </w:style>
  <w:style w:type="character" w:customStyle="1" w:styleId="HeaderChar">
    <w:name w:val="Header Char"/>
    <w:basedOn w:val="DefaultParagraphFont"/>
    <w:link w:val="Header"/>
    <w:uiPriority w:val="99"/>
    <w:rsid w:val="00EC3ECD"/>
    <w:rPr>
      <w:sz w:val="24"/>
      <w:szCs w:val="24"/>
      <w:lang w:eastAsia="en-US"/>
    </w:rPr>
  </w:style>
  <w:style w:type="paragraph" w:styleId="Footer">
    <w:name w:val="footer"/>
    <w:basedOn w:val="Normal"/>
    <w:link w:val="FooterChar"/>
    <w:uiPriority w:val="99"/>
    <w:rsid w:val="00EC3ECD"/>
    <w:pPr>
      <w:tabs>
        <w:tab w:val="center" w:pos="4513"/>
        <w:tab w:val="right" w:pos="9026"/>
      </w:tabs>
    </w:pPr>
  </w:style>
  <w:style w:type="character" w:customStyle="1" w:styleId="FooterChar">
    <w:name w:val="Footer Char"/>
    <w:basedOn w:val="DefaultParagraphFont"/>
    <w:link w:val="Footer"/>
    <w:uiPriority w:val="99"/>
    <w:rsid w:val="00EC3ECD"/>
    <w:rPr>
      <w:sz w:val="24"/>
      <w:szCs w:val="24"/>
      <w:lang w:eastAsia="en-US"/>
    </w:rPr>
  </w:style>
  <w:style w:type="paragraph" w:styleId="BalloonText">
    <w:name w:val="Balloon Text"/>
    <w:basedOn w:val="Normal"/>
    <w:link w:val="BalloonTextChar"/>
    <w:rsid w:val="00EC3ECD"/>
    <w:rPr>
      <w:rFonts w:ascii="Tahoma" w:hAnsi="Tahoma" w:cs="Tahoma"/>
      <w:sz w:val="16"/>
      <w:szCs w:val="16"/>
    </w:rPr>
  </w:style>
  <w:style w:type="character" w:customStyle="1" w:styleId="BalloonTextChar">
    <w:name w:val="Balloon Text Char"/>
    <w:basedOn w:val="DefaultParagraphFont"/>
    <w:link w:val="BalloonText"/>
    <w:rsid w:val="00EC3ECD"/>
    <w:rPr>
      <w:rFonts w:ascii="Tahoma" w:hAnsi="Tahoma" w:cs="Tahoma"/>
      <w:sz w:val="16"/>
      <w:szCs w:val="16"/>
      <w:lang w:eastAsia="en-US"/>
    </w:rPr>
  </w:style>
  <w:style w:type="character" w:styleId="Hyperlink">
    <w:name w:val="Hyperlink"/>
    <w:basedOn w:val="DefaultParagraphFont"/>
    <w:uiPriority w:val="99"/>
    <w:rsid w:val="009643F5"/>
    <w:rPr>
      <w:color w:val="F79646" w:themeColor="hyperlink"/>
      <w:u w:val="single"/>
    </w:rPr>
  </w:style>
  <w:style w:type="paragraph" w:styleId="TOCHeading">
    <w:name w:val="TOC Heading"/>
    <w:basedOn w:val="Heading1"/>
    <w:next w:val="Normal"/>
    <w:uiPriority w:val="39"/>
    <w:semiHidden/>
    <w:unhideWhenUsed/>
    <w:qFormat/>
    <w:rsid w:val="00E37518"/>
    <w:pPr>
      <w:keepLines/>
      <w:spacing w:before="480" w:after="0" w:line="276" w:lineRule="auto"/>
      <w:outlineLvl w:val="9"/>
    </w:pPr>
    <w:rPr>
      <w:rFonts w:asciiTheme="majorHAnsi" w:eastAsiaTheme="majorEastAsia" w:hAnsiTheme="majorHAnsi" w:cstheme="majorBidi"/>
      <w:color w:val="365F91" w:themeColor="accent1" w:themeShade="BF"/>
      <w:kern w:val="0"/>
      <w:szCs w:val="28"/>
      <w:u w:val="none"/>
      <w:lang w:val="en-US" w:eastAsia="ja-JP"/>
    </w:rPr>
  </w:style>
  <w:style w:type="paragraph" w:styleId="TOC1">
    <w:name w:val="toc 1"/>
    <w:basedOn w:val="Normal"/>
    <w:next w:val="Normal"/>
    <w:autoRedefine/>
    <w:uiPriority w:val="39"/>
    <w:qFormat/>
    <w:rsid w:val="004A563A"/>
    <w:pPr>
      <w:tabs>
        <w:tab w:val="right" w:leader="dot" w:pos="8296"/>
      </w:tabs>
      <w:spacing w:after="100"/>
    </w:pPr>
  </w:style>
  <w:style w:type="paragraph" w:styleId="TOC2">
    <w:name w:val="toc 2"/>
    <w:basedOn w:val="Normal"/>
    <w:next w:val="Normal"/>
    <w:autoRedefine/>
    <w:uiPriority w:val="39"/>
    <w:qFormat/>
    <w:rsid w:val="00886C5B"/>
    <w:pPr>
      <w:tabs>
        <w:tab w:val="right" w:leader="dot" w:pos="8364"/>
      </w:tabs>
      <w:spacing w:after="100"/>
      <w:ind w:left="220" w:right="-241"/>
    </w:pPr>
  </w:style>
  <w:style w:type="table" w:styleId="TableGrid">
    <w:name w:val="Table Grid"/>
    <w:basedOn w:val="TableNormal"/>
    <w:rsid w:val="006260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A70AE0"/>
    <w:pPr>
      <w:spacing w:after="60"/>
    </w:pPr>
    <w:rPr>
      <w:bCs/>
      <w:color w:val="404040" w:themeColor="text1" w:themeTint="BF"/>
      <w:sz w:val="20"/>
      <w:szCs w:val="18"/>
    </w:rPr>
  </w:style>
  <w:style w:type="paragraph" w:styleId="TableofFigures">
    <w:name w:val="table of figures"/>
    <w:basedOn w:val="Normal"/>
    <w:next w:val="Normal"/>
    <w:uiPriority w:val="99"/>
    <w:rsid w:val="00626074"/>
    <w:pPr>
      <w:spacing w:after="0"/>
    </w:pPr>
    <w:rPr>
      <w:color w:val="790C09"/>
    </w:rPr>
  </w:style>
  <w:style w:type="character" w:styleId="CommentReference">
    <w:name w:val="annotation reference"/>
    <w:basedOn w:val="DefaultParagraphFont"/>
    <w:rsid w:val="005B79EE"/>
    <w:rPr>
      <w:sz w:val="16"/>
      <w:szCs w:val="16"/>
    </w:rPr>
  </w:style>
  <w:style w:type="paragraph" w:styleId="CommentText">
    <w:name w:val="annotation text"/>
    <w:basedOn w:val="Normal"/>
    <w:link w:val="CommentTextChar"/>
    <w:rsid w:val="005B79EE"/>
    <w:rPr>
      <w:sz w:val="20"/>
      <w:szCs w:val="20"/>
    </w:rPr>
  </w:style>
  <w:style w:type="character" w:customStyle="1" w:styleId="CommentTextChar">
    <w:name w:val="Comment Text Char"/>
    <w:basedOn w:val="DefaultParagraphFont"/>
    <w:link w:val="CommentText"/>
    <w:rsid w:val="005B79EE"/>
    <w:rPr>
      <w:rFonts w:ascii="Century Gothic" w:hAnsi="Century Gothic"/>
      <w:lang w:eastAsia="en-US"/>
    </w:rPr>
  </w:style>
  <w:style w:type="paragraph" w:styleId="CommentSubject">
    <w:name w:val="annotation subject"/>
    <w:basedOn w:val="CommentText"/>
    <w:next w:val="CommentText"/>
    <w:link w:val="CommentSubjectChar"/>
    <w:rsid w:val="005B79EE"/>
    <w:rPr>
      <w:b/>
      <w:bCs/>
    </w:rPr>
  </w:style>
  <w:style w:type="character" w:customStyle="1" w:styleId="CommentSubjectChar">
    <w:name w:val="Comment Subject Char"/>
    <w:basedOn w:val="CommentTextChar"/>
    <w:link w:val="CommentSubject"/>
    <w:rsid w:val="005B79EE"/>
    <w:rPr>
      <w:rFonts w:ascii="Century Gothic" w:hAnsi="Century Gothic"/>
      <w:b/>
      <w:bCs/>
      <w:lang w:eastAsia="en-US"/>
    </w:rPr>
  </w:style>
  <w:style w:type="paragraph" w:styleId="EndnoteText">
    <w:name w:val="endnote text"/>
    <w:basedOn w:val="Normal"/>
    <w:link w:val="EndnoteTextChar"/>
    <w:rsid w:val="005B79EE"/>
    <w:pPr>
      <w:spacing w:after="0"/>
    </w:pPr>
    <w:rPr>
      <w:sz w:val="20"/>
      <w:szCs w:val="20"/>
    </w:rPr>
  </w:style>
  <w:style w:type="character" w:customStyle="1" w:styleId="EndnoteTextChar">
    <w:name w:val="Endnote Text Char"/>
    <w:basedOn w:val="DefaultParagraphFont"/>
    <w:link w:val="EndnoteText"/>
    <w:rsid w:val="005B79EE"/>
    <w:rPr>
      <w:rFonts w:ascii="Century Gothic" w:hAnsi="Century Gothic"/>
      <w:lang w:eastAsia="en-US"/>
    </w:rPr>
  </w:style>
  <w:style w:type="character" w:styleId="EndnoteReference">
    <w:name w:val="endnote reference"/>
    <w:basedOn w:val="DefaultParagraphFont"/>
    <w:rsid w:val="005B79EE"/>
    <w:rPr>
      <w:vertAlign w:val="superscript"/>
    </w:rPr>
  </w:style>
  <w:style w:type="paragraph" w:styleId="FootnoteText">
    <w:name w:val="footnote text"/>
    <w:basedOn w:val="Normal"/>
    <w:link w:val="FootnoteTextChar"/>
    <w:rsid w:val="005B79EE"/>
    <w:pPr>
      <w:spacing w:after="0"/>
    </w:pPr>
    <w:rPr>
      <w:sz w:val="20"/>
      <w:szCs w:val="20"/>
    </w:rPr>
  </w:style>
  <w:style w:type="character" w:customStyle="1" w:styleId="FootnoteTextChar">
    <w:name w:val="Footnote Text Char"/>
    <w:basedOn w:val="DefaultParagraphFont"/>
    <w:link w:val="FootnoteText"/>
    <w:rsid w:val="005B79EE"/>
    <w:rPr>
      <w:rFonts w:ascii="Century Gothic" w:hAnsi="Century Gothic"/>
      <w:lang w:eastAsia="en-US"/>
    </w:rPr>
  </w:style>
  <w:style w:type="character" w:styleId="FootnoteReference">
    <w:name w:val="footnote reference"/>
    <w:basedOn w:val="DefaultParagraphFont"/>
    <w:rsid w:val="005B79EE"/>
    <w:rPr>
      <w:vertAlign w:val="superscript"/>
    </w:rPr>
  </w:style>
  <w:style w:type="paragraph" w:styleId="NormalWeb">
    <w:name w:val="Normal (Web)"/>
    <w:basedOn w:val="Normal"/>
    <w:uiPriority w:val="99"/>
    <w:unhideWhenUsed/>
    <w:rsid w:val="001E72DE"/>
    <w:pPr>
      <w:spacing w:before="100" w:beforeAutospacing="1" w:after="100" w:afterAutospacing="1"/>
    </w:pPr>
    <w:rPr>
      <w:rFonts w:ascii="Times New Roman" w:hAnsi="Times New Roman"/>
      <w:sz w:val="24"/>
      <w:lang w:eastAsia="en-AU"/>
    </w:rPr>
  </w:style>
  <w:style w:type="character" w:styleId="FollowedHyperlink">
    <w:name w:val="FollowedHyperlink"/>
    <w:basedOn w:val="DefaultParagraphFont"/>
    <w:rsid w:val="00101E5C"/>
    <w:rPr>
      <w:color w:val="800080" w:themeColor="followedHyperlink"/>
      <w:u w:val="single"/>
    </w:rPr>
  </w:style>
  <w:style w:type="paragraph" w:styleId="TOC3">
    <w:name w:val="toc 3"/>
    <w:basedOn w:val="Normal"/>
    <w:next w:val="Normal"/>
    <w:autoRedefine/>
    <w:uiPriority w:val="39"/>
    <w:unhideWhenUsed/>
    <w:qFormat/>
    <w:rsid w:val="00363679"/>
    <w:pPr>
      <w:spacing w:after="100" w:line="276" w:lineRule="auto"/>
      <w:ind w:left="440"/>
    </w:pPr>
    <w:rPr>
      <w:rFonts w:asciiTheme="minorHAnsi" w:eastAsiaTheme="minorEastAsia" w:hAnsiTheme="minorHAnsi" w:cstheme="minorBidi"/>
      <w:szCs w:val="22"/>
      <w:lang w:val="en-US" w:eastAsia="ja-JP"/>
    </w:rPr>
  </w:style>
  <w:style w:type="character" w:customStyle="1" w:styleId="Heading2Char">
    <w:name w:val="Heading 2 Char"/>
    <w:basedOn w:val="DefaultParagraphFont"/>
    <w:link w:val="Heading2"/>
    <w:rsid w:val="00EE2A31"/>
    <w:rPr>
      <w:rFonts w:ascii="Century Gothic" w:hAnsi="Century Gothic" w:cs="Arial"/>
      <w:bCs/>
      <w:iCs/>
      <w:color w:val="000000" w:themeColor="text1"/>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5132">
      <w:bodyDiv w:val="1"/>
      <w:marLeft w:val="0"/>
      <w:marRight w:val="0"/>
      <w:marTop w:val="0"/>
      <w:marBottom w:val="0"/>
      <w:divBdr>
        <w:top w:val="none" w:sz="0" w:space="0" w:color="auto"/>
        <w:left w:val="none" w:sz="0" w:space="0" w:color="auto"/>
        <w:bottom w:val="none" w:sz="0" w:space="0" w:color="auto"/>
        <w:right w:val="none" w:sz="0" w:space="0" w:color="auto"/>
      </w:divBdr>
    </w:div>
    <w:div w:id="24253601">
      <w:bodyDiv w:val="1"/>
      <w:marLeft w:val="0"/>
      <w:marRight w:val="0"/>
      <w:marTop w:val="0"/>
      <w:marBottom w:val="0"/>
      <w:divBdr>
        <w:top w:val="none" w:sz="0" w:space="0" w:color="auto"/>
        <w:left w:val="none" w:sz="0" w:space="0" w:color="auto"/>
        <w:bottom w:val="none" w:sz="0" w:space="0" w:color="auto"/>
        <w:right w:val="none" w:sz="0" w:space="0" w:color="auto"/>
      </w:divBdr>
      <w:divsChild>
        <w:div w:id="565577091">
          <w:marLeft w:val="403"/>
          <w:marRight w:val="0"/>
          <w:marTop w:val="0"/>
          <w:marBottom w:val="120"/>
          <w:divBdr>
            <w:top w:val="none" w:sz="0" w:space="0" w:color="auto"/>
            <w:left w:val="none" w:sz="0" w:space="0" w:color="auto"/>
            <w:bottom w:val="none" w:sz="0" w:space="0" w:color="auto"/>
            <w:right w:val="none" w:sz="0" w:space="0" w:color="auto"/>
          </w:divBdr>
        </w:div>
        <w:div w:id="734622144">
          <w:marLeft w:val="403"/>
          <w:marRight w:val="0"/>
          <w:marTop w:val="0"/>
          <w:marBottom w:val="120"/>
          <w:divBdr>
            <w:top w:val="none" w:sz="0" w:space="0" w:color="auto"/>
            <w:left w:val="none" w:sz="0" w:space="0" w:color="auto"/>
            <w:bottom w:val="none" w:sz="0" w:space="0" w:color="auto"/>
            <w:right w:val="none" w:sz="0" w:space="0" w:color="auto"/>
          </w:divBdr>
        </w:div>
        <w:div w:id="1894653708">
          <w:marLeft w:val="403"/>
          <w:marRight w:val="0"/>
          <w:marTop w:val="0"/>
          <w:marBottom w:val="120"/>
          <w:divBdr>
            <w:top w:val="none" w:sz="0" w:space="0" w:color="auto"/>
            <w:left w:val="none" w:sz="0" w:space="0" w:color="auto"/>
            <w:bottom w:val="none" w:sz="0" w:space="0" w:color="auto"/>
            <w:right w:val="none" w:sz="0" w:space="0" w:color="auto"/>
          </w:divBdr>
        </w:div>
      </w:divsChild>
    </w:div>
    <w:div w:id="25764313">
      <w:bodyDiv w:val="1"/>
      <w:marLeft w:val="0"/>
      <w:marRight w:val="0"/>
      <w:marTop w:val="0"/>
      <w:marBottom w:val="0"/>
      <w:divBdr>
        <w:top w:val="none" w:sz="0" w:space="0" w:color="auto"/>
        <w:left w:val="none" w:sz="0" w:space="0" w:color="auto"/>
        <w:bottom w:val="none" w:sz="0" w:space="0" w:color="auto"/>
        <w:right w:val="none" w:sz="0" w:space="0" w:color="auto"/>
      </w:divBdr>
    </w:div>
    <w:div w:id="43990720">
      <w:bodyDiv w:val="1"/>
      <w:marLeft w:val="0"/>
      <w:marRight w:val="0"/>
      <w:marTop w:val="0"/>
      <w:marBottom w:val="0"/>
      <w:divBdr>
        <w:top w:val="none" w:sz="0" w:space="0" w:color="auto"/>
        <w:left w:val="none" w:sz="0" w:space="0" w:color="auto"/>
        <w:bottom w:val="none" w:sz="0" w:space="0" w:color="auto"/>
        <w:right w:val="none" w:sz="0" w:space="0" w:color="auto"/>
      </w:divBdr>
    </w:div>
    <w:div w:id="59716292">
      <w:bodyDiv w:val="1"/>
      <w:marLeft w:val="0"/>
      <w:marRight w:val="0"/>
      <w:marTop w:val="0"/>
      <w:marBottom w:val="0"/>
      <w:divBdr>
        <w:top w:val="none" w:sz="0" w:space="0" w:color="auto"/>
        <w:left w:val="none" w:sz="0" w:space="0" w:color="auto"/>
        <w:bottom w:val="none" w:sz="0" w:space="0" w:color="auto"/>
        <w:right w:val="none" w:sz="0" w:space="0" w:color="auto"/>
      </w:divBdr>
    </w:div>
    <w:div w:id="73938831">
      <w:bodyDiv w:val="1"/>
      <w:marLeft w:val="0"/>
      <w:marRight w:val="0"/>
      <w:marTop w:val="0"/>
      <w:marBottom w:val="0"/>
      <w:divBdr>
        <w:top w:val="none" w:sz="0" w:space="0" w:color="auto"/>
        <w:left w:val="none" w:sz="0" w:space="0" w:color="auto"/>
        <w:bottom w:val="none" w:sz="0" w:space="0" w:color="auto"/>
        <w:right w:val="none" w:sz="0" w:space="0" w:color="auto"/>
      </w:divBdr>
    </w:div>
    <w:div w:id="106773660">
      <w:bodyDiv w:val="1"/>
      <w:marLeft w:val="0"/>
      <w:marRight w:val="0"/>
      <w:marTop w:val="0"/>
      <w:marBottom w:val="0"/>
      <w:divBdr>
        <w:top w:val="none" w:sz="0" w:space="0" w:color="auto"/>
        <w:left w:val="none" w:sz="0" w:space="0" w:color="auto"/>
        <w:bottom w:val="none" w:sz="0" w:space="0" w:color="auto"/>
        <w:right w:val="none" w:sz="0" w:space="0" w:color="auto"/>
      </w:divBdr>
    </w:div>
    <w:div w:id="167910191">
      <w:bodyDiv w:val="1"/>
      <w:marLeft w:val="0"/>
      <w:marRight w:val="0"/>
      <w:marTop w:val="0"/>
      <w:marBottom w:val="0"/>
      <w:divBdr>
        <w:top w:val="none" w:sz="0" w:space="0" w:color="auto"/>
        <w:left w:val="none" w:sz="0" w:space="0" w:color="auto"/>
        <w:bottom w:val="none" w:sz="0" w:space="0" w:color="auto"/>
        <w:right w:val="none" w:sz="0" w:space="0" w:color="auto"/>
      </w:divBdr>
    </w:div>
    <w:div w:id="248316129">
      <w:bodyDiv w:val="1"/>
      <w:marLeft w:val="0"/>
      <w:marRight w:val="0"/>
      <w:marTop w:val="0"/>
      <w:marBottom w:val="0"/>
      <w:divBdr>
        <w:top w:val="none" w:sz="0" w:space="0" w:color="auto"/>
        <w:left w:val="none" w:sz="0" w:space="0" w:color="auto"/>
        <w:bottom w:val="none" w:sz="0" w:space="0" w:color="auto"/>
        <w:right w:val="none" w:sz="0" w:space="0" w:color="auto"/>
      </w:divBdr>
    </w:div>
    <w:div w:id="252903838">
      <w:bodyDiv w:val="1"/>
      <w:marLeft w:val="0"/>
      <w:marRight w:val="0"/>
      <w:marTop w:val="0"/>
      <w:marBottom w:val="0"/>
      <w:divBdr>
        <w:top w:val="none" w:sz="0" w:space="0" w:color="auto"/>
        <w:left w:val="none" w:sz="0" w:space="0" w:color="auto"/>
        <w:bottom w:val="none" w:sz="0" w:space="0" w:color="auto"/>
        <w:right w:val="none" w:sz="0" w:space="0" w:color="auto"/>
      </w:divBdr>
    </w:div>
    <w:div w:id="261646192">
      <w:bodyDiv w:val="1"/>
      <w:marLeft w:val="0"/>
      <w:marRight w:val="0"/>
      <w:marTop w:val="0"/>
      <w:marBottom w:val="0"/>
      <w:divBdr>
        <w:top w:val="none" w:sz="0" w:space="0" w:color="auto"/>
        <w:left w:val="none" w:sz="0" w:space="0" w:color="auto"/>
        <w:bottom w:val="none" w:sz="0" w:space="0" w:color="auto"/>
        <w:right w:val="none" w:sz="0" w:space="0" w:color="auto"/>
      </w:divBdr>
    </w:div>
    <w:div w:id="280572292">
      <w:bodyDiv w:val="1"/>
      <w:marLeft w:val="0"/>
      <w:marRight w:val="0"/>
      <w:marTop w:val="0"/>
      <w:marBottom w:val="0"/>
      <w:divBdr>
        <w:top w:val="none" w:sz="0" w:space="0" w:color="auto"/>
        <w:left w:val="none" w:sz="0" w:space="0" w:color="auto"/>
        <w:bottom w:val="none" w:sz="0" w:space="0" w:color="auto"/>
        <w:right w:val="none" w:sz="0" w:space="0" w:color="auto"/>
      </w:divBdr>
      <w:divsChild>
        <w:div w:id="84495232">
          <w:marLeft w:val="302"/>
          <w:marRight w:val="0"/>
          <w:marTop w:val="0"/>
          <w:marBottom w:val="0"/>
          <w:divBdr>
            <w:top w:val="none" w:sz="0" w:space="0" w:color="auto"/>
            <w:left w:val="none" w:sz="0" w:space="0" w:color="auto"/>
            <w:bottom w:val="none" w:sz="0" w:space="0" w:color="auto"/>
            <w:right w:val="none" w:sz="0" w:space="0" w:color="auto"/>
          </w:divBdr>
        </w:div>
        <w:div w:id="581724601">
          <w:marLeft w:val="302"/>
          <w:marRight w:val="0"/>
          <w:marTop w:val="0"/>
          <w:marBottom w:val="0"/>
          <w:divBdr>
            <w:top w:val="none" w:sz="0" w:space="0" w:color="auto"/>
            <w:left w:val="none" w:sz="0" w:space="0" w:color="auto"/>
            <w:bottom w:val="none" w:sz="0" w:space="0" w:color="auto"/>
            <w:right w:val="none" w:sz="0" w:space="0" w:color="auto"/>
          </w:divBdr>
        </w:div>
      </w:divsChild>
    </w:div>
    <w:div w:id="297684347">
      <w:bodyDiv w:val="1"/>
      <w:marLeft w:val="0"/>
      <w:marRight w:val="0"/>
      <w:marTop w:val="0"/>
      <w:marBottom w:val="0"/>
      <w:divBdr>
        <w:top w:val="none" w:sz="0" w:space="0" w:color="auto"/>
        <w:left w:val="none" w:sz="0" w:space="0" w:color="auto"/>
        <w:bottom w:val="none" w:sz="0" w:space="0" w:color="auto"/>
        <w:right w:val="none" w:sz="0" w:space="0" w:color="auto"/>
      </w:divBdr>
    </w:div>
    <w:div w:id="327711564">
      <w:bodyDiv w:val="1"/>
      <w:marLeft w:val="0"/>
      <w:marRight w:val="0"/>
      <w:marTop w:val="0"/>
      <w:marBottom w:val="0"/>
      <w:divBdr>
        <w:top w:val="none" w:sz="0" w:space="0" w:color="auto"/>
        <w:left w:val="none" w:sz="0" w:space="0" w:color="auto"/>
        <w:bottom w:val="none" w:sz="0" w:space="0" w:color="auto"/>
        <w:right w:val="none" w:sz="0" w:space="0" w:color="auto"/>
      </w:divBdr>
    </w:div>
    <w:div w:id="354775068">
      <w:bodyDiv w:val="1"/>
      <w:marLeft w:val="0"/>
      <w:marRight w:val="0"/>
      <w:marTop w:val="0"/>
      <w:marBottom w:val="0"/>
      <w:divBdr>
        <w:top w:val="none" w:sz="0" w:space="0" w:color="auto"/>
        <w:left w:val="none" w:sz="0" w:space="0" w:color="auto"/>
        <w:bottom w:val="none" w:sz="0" w:space="0" w:color="auto"/>
        <w:right w:val="none" w:sz="0" w:space="0" w:color="auto"/>
      </w:divBdr>
    </w:div>
    <w:div w:id="394863759">
      <w:bodyDiv w:val="1"/>
      <w:marLeft w:val="0"/>
      <w:marRight w:val="0"/>
      <w:marTop w:val="0"/>
      <w:marBottom w:val="0"/>
      <w:divBdr>
        <w:top w:val="none" w:sz="0" w:space="0" w:color="auto"/>
        <w:left w:val="none" w:sz="0" w:space="0" w:color="auto"/>
        <w:bottom w:val="none" w:sz="0" w:space="0" w:color="auto"/>
        <w:right w:val="none" w:sz="0" w:space="0" w:color="auto"/>
      </w:divBdr>
    </w:div>
    <w:div w:id="398407689">
      <w:bodyDiv w:val="1"/>
      <w:marLeft w:val="0"/>
      <w:marRight w:val="0"/>
      <w:marTop w:val="0"/>
      <w:marBottom w:val="0"/>
      <w:divBdr>
        <w:top w:val="none" w:sz="0" w:space="0" w:color="auto"/>
        <w:left w:val="none" w:sz="0" w:space="0" w:color="auto"/>
        <w:bottom w:val="none" w:sz="0" w:space="0" w:color="auto"/>
        <w:right w:val="none" w:sz="0" w:space="0" w:color="auto"/>
      </w:divBdr>
    </w:div>
    <w:div w:id="419103289">
      <w:bodyDiv w:val="1"/>
      <w:marLeft w:val="0"/>
      <w:marRight w:val="0"/>
      <w:marTop w:val="0"/>
      <w:marBottom w:val="0"/>
      <w:divBdr>
        <w:top w:val="none" w:sz="0" w:space="0" w:color="auto"/>
        <w:left w:val="none" w:sz="0" w:space="0" w:color="auto"/>
        <w:bottom w:val="none" w:sz="0" w:space="0" w:color="auto"/>
        <w:right w:val="none" w:sz="0" w:space="0" w:color="auto"/>
      </w:divBdr>
    </w:div>
    <w:div w:id="504326306">
      <w:bodyDiv w:val="1"/>
      <w:marLeft w:val="0"/>
      <w:marRight w:val="0"/>
      <w:marTop w:val="0"/>
      <w:marBottom w:val="0"/>
      <w:divBdr>
        <w:top w:val="none" w:sz="0" w:space="0" w:color="auto"/>
        <w:left w:val="none" w:sz="0" w:space="0" w:color="auto"/>
        <w:bottom w:val="none" w:sz="0" w:space="0" w:color="auto"/>
        <w:right w:val="none" w:sz="0" w:space="0" w:color="auto"/>
      </w:divBdr>
    </w:div>
    <w:div w:id="544679494">
      <w:bodyDiv w:val="1"/>
      <w:marLeft w:val="0"/>
      <w:marRight w:val="0"/>
      <w:marTop w:val="0"/>
      <w:marBottom w:val="0"/>
      <w:divBdr>
        <w:top w:val="none" w:sz="0" w:space="0" w:color="auto"/>
        <w:left w:val="none" w:sz="0" w:space="0" w:color="auto"/>
        <w:bottom w:val="none" w:sz="0" w:space="0" w:color="auto"/>
        <w:right w:val="none" w:sz="0" w:space="0" w:color="auto"/>
      </w:divBdr>
      <w:divsChild>
        <w:div w:id="159977634">
          <w:marLeft w:val="547"/>
          <w:marRight w:val="0"/>
          <w:marTop w:val="77"/>
          <w:marBottom w:val="0"/>
          <w:divBdr>
            <w:top w:val="none" w:sz="0" w:space="0" w:color="auto"/>
            <w:left w:val="none" w:sz="0" w:space="0" w:color="auto"/>
            <w:bottom w:val="none" w:sz="0" w:space="0" w:color="auto"/>
            <w:right w:val="none" w:sz="0" w:space="0" w:color="auto"/>
          </w:divBdr>
        </w:div>
      </w:divsChild>
    </w:div>
    <w:div w:id="551965785">
      <w:bodyDiv w:val="1"/>
      <w:marLeft w:val="0"/>
      <w:marRight w:val="0"/>
      <w:marTop w:val="0"/>
      <w:marBottom w:val="0"/>
      <w:divBdr>
        <w:top w:val="none" w:sz="0" w:space="0" w:color="auto"/>
        <w:left w:val="none" w:sz="0" w:space="0" w:color="auto"/>
        <w:bottom w:val="none" w:sz="0" w:space="0" w:color="auto"/>
        <w:right w:val="none" w:sz="0" w:space="0" w:color="auto"/>
      </w:divBdr>
    </w:div>
    <w:div w:id="579170289">
      <w:bodyDiv w:val="1"/>
      <w:marLeft w:val="0"/>
      <w:marRight w:val="0"/>
      <w:marTop w:val="0"/>
      <w:marBottom w:val="0"/>
      <w:divBdr>
        <w:top w:val="none" w:sz="0" w:space="0" w:color="auto"/>
        <w:left w:val="none" w:sz="0" w:space="0" w:color="auto"/>
        <w:bottom w:val="none" w:sz="0" w:space="0" w:color="auto"/>
        <w:right w:val="none" w:sz="0" w:space="0" w:color="auto"/>
      </w:divBdr>
    </w:div>
    <w:div w:id="600457986">
      <w:bodyDiv w:val="1"/>
      <w:marLeft w:val="0"/>
      <w:marRight w:val="0"/>
      <w:marTop w:val="0"/>
      <w:marBottom w:val="0"/>
      <w:divBdr>
        <w:top w:val="none" w:sz="0" w:space="0" w:color="auto"/>
        <w:left w:val="none" w:sz="0" w:space="0" w:color="auto"/>
        <w:bottom w:val="none" w:sz="0" w:space="0" w:color="auto"/>
        <w:right w:val="none" w:sz="0" w:space="0" w:color="auto"/>
      </w:divBdr>
    </w:div>
    <w:div w:id="602342948">
      <w:bodyDiv w:val="1"/>
      <w:marLeft w:val="0"/>
      <w:marRight w:val="0"/>
      <w:marTop w:val="0"/>
      <w:marBottom w:val="0"/>
      <w:divBdr>
        <w:top w:val="none" w:sz="0" w:space="0" w:color="auto"/>
        <w:left w:val="none" w:sz="0" w:space="0" w:color="auto"/>
        <w:bottom w:val="none" w:sz="0" w:space="0" w:color="auto"/>
        <w:right w:val="none" w:sz="0" w:space="0" w:color="auto"/>
      </w:divBdr>
    </w:div>
    <w:div w:id="629014862">
      <w:bodyDiv w:val="1"/>
      <w:marLeft w:val="0"/>
      <w:marRight w:val="0"/>
      <w:marTop w:val="0"/>
      <w:marBottom w:val="0"/>
      <w:divBdr>
        <w:top w:val="none" w:sz="0" w:space="0" w:color="auto"/>
        <w:left w:val="none" w:sz="0" w:space="0" w:color="auto"/>
        <w:bottom w:val="none" w:sz="0" w:space="0" w:color="auto"/>
        <w:right w:val="none" w:sz="0" w:space="0" w:color="auto"/>
      </w:divBdr>
    </w:div>
    <w:div w:id="675111313">
      <w:bodyDiv w:val="1"/>
      <w:marLeft w:val="0"/>
      <w:marRight w:val="0"/>
      <w:marTop w:val="0"/>
      <w:marBottom w:val="0"/>
      <w:divBdr>
        <w:top w:val="none" w:sz="0" w:space="0" w:color="auto"/>
        <w:left w:val="none" w:sz="0" w:space="0" w:color="auto"/>
        <w:bottom w:val="none" w:sz="0" w:space="0" w:color="auto"/>
        <w:right w:val="none" w:sz="0" w:space="0" w:color="auto"/>
      </w:divBdr>
      <w:divsChild>
        <w:div w:id="686173702">
          <w:marLeft w:val="302"/>
          <w:marRight w:val="0"/>
          <w:marTop w:val="0"/>
          <w:marBottom w:val="0"/>
          <w:divBdr>
            <w:top w:val="none" w:sz="0" w:space="0" w:color="auto"/>
            <w:left w:val="none" w:sz="0" w:space="0" w:color="auto"/>
            <w:bottom w:val="none" w:sz="0" w:space="0" w:color="auto"/>
            <w:right w:val="none" w:sz="0" w:space="0" w:color="auto"/>
          </w:divBdr>
        </w:div>
        <w:div w:id="721632984">
          <w:marLeft w:val="302"/>
          <w:marRight w:val="0"/>
          <w:marTop w:val="0"/>
          <w:marBottom w:val="0"/>
          <w:divBdr>
            <w:top w:val="none" w:sz="0" w:space="0" w:color="auto"/>
            <w:left w:val="none" w:sz="0" w:space="0" w:color="auto"/>
            <w:bottom w:val="none" w:sz="0" w:space="0" w:color="auto"/>
            <w:right w:val="none" w:sz="0" w:space="0" w:color="auto"/>
          </w:divBdr>
        </w:div>
        <w:div w:id="1596404210">
          <w:marLeft w:val="302"/>
          <w:marRight w:val="0"/>
          <w:marTop w:val="0"/>
          <w:marBottom w:val="0"/>
          <w:divBdr>
            <w:top w:val="none" w:sz="0" w:space="0" w:color="auto"/>
            <w:left w:val="none" w:sz="0" w:space="0" w:color="auto"/>
            <w:bottom w:val="none" w:sz="0" w:space="0" w:color="auto"/>
            <w:right w:val="none" w:sz="0" w:space="0" w:color="auto"/>
          </w:divBdr>
        </w:div>
      </w:divsChild>
    </w:div>
    <w:div w:id="710111457">
      <w:bodyDiv w:val="1"/>
      <w:marLeft w:val="0"/>
      <w:marRight w:val="0"/>
      <w:marTop w:val="0"/>
      <w:marBottom w:val="0"/>
      <w:divBdr>
        <w:top w:val="none" w:sz="0" w:space="0" w:color="auto"/>
        <w:left w:val="none" w:sz="0" w:space="0" w:color="auto"/>
        <w:bottom w:val="none" w:sz="0" w:space="0" w:color="auto"/>
        <w:right w:val="none" w:sz="0" w:space="0" w:color="auto"/>
      </w:divBdr>
    </w:div>
    <w:div w:id="829948429">
      <w:bodyDiv w:val="1"/>
      <w:marLeft w:val="0"/>
      <w:marRight w:val="0"/>
      <w:marTop w:val="0"/>
      <w:marBottom w:val="0"/>
      <w:divBdr>
        <w:top w:val="none" w:sz="0" w:space="0" w:color="auto"/>
        <w:left w:val="none" w:sz="0" w:space="0" w:color="auto"/>
        <w:bottom w:val="none" w:sz="0" w:space="0" w:color="auto"/>
        <w:right w:val="none" w:sz="0" w:space="0" w:color="auto"/>
      </w:divBdr>
    </w:div>
    <w:div w:id="870652927">
      <w:bodyDiv w:val="1"/>
      <w:marLeft w:val="0"/>
      <w:marRight w:val="0"/>
      <w:marTop w:val="0"/>
      <w:marBottom w:val="0"/>
      <w:divBdr>
        <w:top w:val="none" w:sz="0" w:space="0" w:color="auto"/>
        <w:left w:val="none" w:sz="0" w:space="0" w:color="auto"/>
        <w:bottom w:val="none" w:sz="0" w:space="0" w:color="auto"/>
        <w:right w:val="none" w:sz="0" w:space="0" w:color="auto"/>
      </w:divBdr>
    </w:div>
    <w:div w:id="891111808">
      <w:bodyDiv w:val="1"/>
      <w:marLeft w:val="0"/>
      <w:marRight w:val="0"/>
      <w:marTop w:val="0"/>
      <w:marBottom w:val="0"/>
      <w:divBdr>
        <w:top w:val="none" w:sz="0" w:space="0" w:color="auto"/>
        <w:left w:val="none" w:sz="0" w:space="0" w:color="auto"/>
        <w:bottom w:val="none" w:sz="0" w:space="0" w:color="auto"/>
        <w:right w:val="none" w:sz="0" w:space="0" w:color="auto"/>
      </w:divBdr>
    </w:div>
    <w:div w:id="913271932">
      <w:bodyDiv w:val="1"/>
      <w:marLeft w:val="0"/>
      <w:marRight w:val="0"/>
      <w:marTop w:val="0"/>
      <w:marBottom w:val="0"/>
      <w:divBdr>
        <w:top w:val="none" w:sz="0" w:space="0" w:color="auto"/>
        <w:left w:val="none" w:sz="0" w:space="0" w:color="auto"/>
        <w:bottom w:val="none" w:sz="0" w:space="0" w:color="auto"/>
        <w:right w:val="none" w:sz="0" w:space="0" w:color="auto"/>
      </w:divBdr>
    </w:div>
    <w:div w:id="948128011">
      <w:bodyDiv w:val="1"/>
      <w:marLeft w:val="0"/>
      <w:marRight w:val="0"/>
      <w:marTop w:val="0"/>
      <w:marBottom w:val="0"/>
      <w:divBdr>
        <w:top w:val="none" w:sz="0" w:space="0" w:color="auto"/>
        <w:left w:val="none" w:sz="0" w:space="0" w:color="auto"/>
        <w:bottom w:val="none" w:sz="0" w:space="0" w:color="auto"/>
        <w:right w:val="none" w:sz="0" w:space="0" w:color="auto"/>
      </w:divBdr>
    </w:div>
    <w:div w:id="957030066">
      <w:bodyDiv w:val="1"/>
      <w:marLeft w:val="0"/>
      <w:marRight w:val="0"/>
      <w:marTop w:val="0"/>
      <w:marBottom w:val="0"/>
      <w:divBdr>
        <w:top w:val="none" w:sz="0" w:space="0" w:color="auto"/>
        <w:left w:val="none" w:sz="0" w:space="0" w:color="auto"/>
        <w:bottom w:val="none" w:sz="0" w:space="0" w:color="auto"/>
        <w:right w:val="none" w:sz="0" w:space="0" w:color="auto"/>
      </w:divBdr>
      <w:divsChild>
        <w:div w:id="43332669">
          <w:marLeft w:val="547"/>
          <w:marRight w:val="0"/>
          <w:marTop w:val="77"/>
          <w:marBottom w:val="0"/>
          <w:divBdr>
            <w:top w:val="none" w:sz="0" w:space="0" w:color="auto"/>
            <w:left w:val="none" w:sz="0" w:space="0" w:color="auto"/>
            <w:bottom w:val="none" w:sz="0" w:space="0" w:color="auto"/>
            <w:right w:val="none" w:sz="0" w:space="0" w:color="auto"/>
          </w:divBdr>
        </w:div>
        <w:div w:id="610283176">
          <w:marLeft w:val="547"/>
          <w:marRight w:val="0"/>
          <w:marTop w:val="77"/>
          <w:marBottom w:val="0"/>
          <w:divBdr>
            <w:top w:val="none" w:sz="0" w:space="0" w:color="auto"/>
            <w:left w:val="none" w:sz="0" w:space="0" w:color="auto"/>
            <w:bottom w:val="none" w:sz="0" w:space="0" w:color="auto"/>
            <w:right w:val="none" w:sz="0" w:space="0" w:color="auto"/>
          </w:divBdr>
        </w:div>
        <w:div w:id="1531408340">
          <w:marLeft w:val="547"/>
          <w:marRight w:val="0"/>
          <w:marTop w:val="77"/>
          <w:marBottom w:val="0"/>
          <w:divBdr>
            <w:top w:val="none" w:sz="0" w:space="0" w:color="auto"/>
            <w:left w:val="none" w:sz="0" w:space="0" w:color="auto"/>
            <w:bottom w:val="none" w:sz="0" w:space="0" w:color="auto"/>
            <w:right w:val="none" w:sz="0" w:space="0" w:color="auto"/>
          </w:divBdr>
        </w:div>
        <w:div w:id="1626963922">
          <w:marLeft w:val="547"/>
          <w:marRight w:val="0"/>
          <w:marTop w:val="77"/>
          <w:marBottom w:val="0"/>
          <w:divBdr>
            <w:top w:val="none" w:sz="0" w:space="0" w:color="auto"/>
            <w:left w:val="none" w:sz="0" w:space="0" w:color="auto"/>
            <w:bottom w:val="none" w:sz="0" w:space="0" w:color="auto"/>
            <w:right w:val="none" w:sz="0" w:space="0" w:color="auto"/>
          </w:divBdr>
        </w:div>
        <w:div w:id="2137946681">
          <w:marLeft w:val="547"/>
          <w:marRight w:val="0"/>
          <w:marTop w:val="77"/>
          <w:marBottom w:val="0"/>
          <w:divBdr>
            <w:top w:val="none" w:sz="0" w:space="0" w:color="auto"/>
            <w:left w:val="none" w:sz="0" w:space="0" w:color="auto"/>
            <w:bottom w:val="none" w:sz="0" w:space="0" w:color="auto"/>
            <w:right w:val="none" w:sz="0" w:space="0" w:color="auto"/>
          </w:divBdr>
        </w:div>
      </w:divsChild>
    </w:div>
    <w:div w:id="958146428">
      <w:bodyDiv w:val="1"/>
      <w:marLeft w:val="0"/>
      <w:marRight w:val="0"/>
      <w:marTop w:val="0"/>
      <w:marBottom w:val="0"/>
      <w:divBdr>
        <w:top w:val="none" w:sz="0" w:space="0" w:color="auto"/>
        <w:left w:val="none" w:sz="0" w:space="0" w:color="auto"/>
        <w:bottom w:val="none" w:sz="0" w:space="0" w:color="auto"/>
        <w:right w:val="none" w:sz="0" w:space="0" w:color="auto"/>
      </w:divBdr>
    </w:div>
    <w:div w:id="989165730">
      <w:bodyDiv w:val="1"/>
      <w:marLeft w:val="0"/>
      <w:marRight w:val="0"/>
      <w:marTop w:val="0"/>
      <w:marBottom w:val="0"/>
      <w:divBdr>
        <w:top w:val="none" w:sz="0" w:space="0" w:color="auto"/>
        <w:left w:val="none" w:sz="0" w:space="0" w:color="auto"/>
        <w:bottom w:val="none" w:sz="0" w:space="0" w:color="auto"/>
        <w:right w:val="none" w:sz="0" w:space="0" w:color="auto"/>
      </w:divBdr>
    </w:div>
    <w:div w:id="1030689464">
      <w:bodyDiv w:val="1"/>
      <w:marLeft w:val="0"/>
      <w:marRight w:val="0"/>
      <w:marTop w:val="0"/>
      <w:marBottom w:val="0"/>
      <w:divBdr>
        <w:top w:val="none" w:sz="0" w:space="0" w:color="auto"/>
        <w:left w:val="none" w:sz="0" w:space="0" w:color="auto"/>
        <w:bottom w:val="none" w:sz="0" w:space="0" w:color="auto"/>
        <w:right w:val="none" w:sz="0" w:space="0" w:color="auto"/>
      </w:divBdr>
    </w:div>
    <w:div w:id="1112823894">
      <w:bodyDiv w:val="1"/>
      <w:marLeft w:val="0"/>
      <w:marRight w:val="0"/>
      <w:marTop w:val="0"/>
      <w:marBottom w:val="0"/>
      <w:divBdr>
        <w:top w:val="none" w:sz="0" w:space="0" w:color="auto"/>
        <w:left w:val="none" w:sz="0" w:space="0" w:color="auto"/>
        <w:bottom w:val="none" w:sz="0" w:space="0" w:color="auto"/>
        <w:right w:val="none" w:sz="0" w:space="0" w:color="auto"/>
      </w:divBdr>
    </w:div>
    <w:div w:id="1115561060">
      <w:bodyDiv w:val="1"/>
      <w:marLeft w:val="0"/>
      <w:marRight w:val="0"/>
      <w:marTop w:val="0"/>
      <w:marBottom w:val="0"/>
      <w:divBdr>
        <w:top w:val="none" w:sz="0" w:space="0" w:color="auto"/>
        <w:left w:val="none" w:sz="0" w:space="0" w:color="auto"/>
        <w:bottom w:val="none" w:sz="0" w:space="0" w:color="auto"/>
        <w:right w:val="none" w:sz="0" w:space="0" w:color="auto"/>
      </w:divBdr>
    </w:div>
    <w:div w:id="1121536720">
      <w:bodyDiv w:val="1"/>
      <w:marLeft w:val="0"/>
      <w:marRight w:val="0"/>
      <w:marTop w:val="0"/>
      <w:marBottom w:val="0"/>
      <w:divBdr>
        <w:top w:val="none" w:sz="0" w:space="0" w:color="auto"/>
        <w:left w:val="none" w:sz="0" w:space="0" w:color="auto"/>
        <w:bottom w:val="none" w:sz="0" w:space="0" w:color="auto"/>
        <w:right w:val="none" w:sz="0" w:space="0" w:color="auto"/>
      </w:divBdr>
    </w:div>
    <w:div w:id="1136020712">
      <w:bodyDiv w:val="1"/>
      <w:marLeft w:val="0"/>
      <w:marRight w:val="0"/>
      <w:marTop w:val="0"/>
      <w:marBottom w:val="0"/>
      <w:divBdr>
        <w:top w:val="none" w:sz="0" w:space="0" w:color="auto"/>
        <w:left w:val="none" w:sz="0" w:space="0" w:color="auto"/>
        <w:bottom w:val="none" w:sz="0" w:space="0" w:color="auto"/>
        <w:right w:val="none" w:sz="0" w:space="0" w:color="auto"/>
      </w:divBdr>
    </w:div>
    <w:div w:id="1144926374">
      <w:bodyDiv w:val="1"/>
      <w:marLeft w:val="0"/>
      <w:marRight w:val="0"/>
      <w:marTop w:val="0"/>
      <w:marBottom w:val="0"/>
      <w:divBdr>
        <w:top w:val="none" w:sz="0" w:space="0" w:color="auto"/>
        <w:left w:val="none" w:sz="0" w:space="0" w:color="auto"/>
        <w:bottom w:val="none" w:sz="0" w:space="0" w:color="auto"/>
        <w:right w:val="none" w:sz="0" w:space="0" w:color="auto"/>
      </w:divBdr>
    </w:div>
    <w:div w:id="1145850667">
      <w:bodyDiv w:val="1"/>
      <w:marLeft w:val="0"/>
      <w:marRight w:val="0"/>
      <w:marTop w:val="0"/>
      <w:marBottom w:val="0"/>
      <w:divBdr>
        <w:top w:val="none" w:sz="0" w:space="0" w:color="auto"/>
        <w:left w:val="none" w:sz="0" w:space="0" w:color="auto"/>
        <w:bottom w:val="none" w:sz="0" w:space="0" w:color="auto"/>
        <w:right w:val="none" w:sz="0" w:space="0" w:color="auto"/>
      </w:divBdr>
    </w:div>
    <w:div w:id="1161695476">
      <w:bodyDiv w:val="1"/>
      <w:marLeft w:val="0"/>
      <w:marRight w:val="0"/>
      <w:marTop w:val="0"/>
      <w:marBottom w:val="0"/>
      <w:divBdr>
        <w:top w:val="none" w:sz="0" w:space="0" w:color="auto"/>
        <w:left w:val="none" w:sz="0" w:space="0" w:color="auto"/>
        <w:bottom w:val="none" w:sz="0" w:space="0" w:color="auto"/>
        <w:right w:val="none" w:sz="0" w:space="0" w:color="auto"/>
      </w:divBdr>
    </w:div>
    <w:div w:id="1200583042">
      <w:bodyDiv w:val="1"/>
      <w:marLeft w:val="0"/>
      <w:marRight w:val="0"/>
      <w:marTop w:val="0"/>
      <w:marBottom w:val="0"/>
      <w:divBdr>
        <w:top w:val="none" w:sz="0" w:space="0" w:color="auto"/>
        <w:left w:val="none" w:sz="0" w:space="0" w:color="auto"/>
        <w:bottom w:val="none" w:sz="0" w:space="0" w:color="auto"/>
        <w:right w:val="none" w:sz="0" w:space="0" w:color="auto"/>
      </w:divBdr>
    </w:div>
    <w:div w:id="1254243606">
      <w:bodyDiv w:val="1"/>
      <w:marLeft w:val="0"/>
      <w:marRight w:val="0"/>
      <w:marTop w:val="0"/>
      <w:marBottom w:val="0"/>
      <w:divBdr>
        <w:top w:val="none" w:sz="0" w:space="0" w:color="auto"/>
        <w:left w:val="none" w:sz="0" w:space="0" w:color="auto"/>
        <w:bottom w:val="none" w:sz="0" w:space="0" w:color="auto"/>
        <w:right w:val="none" w:sz="0" w:space="0" w:color="auto"/>
      </w:divBdr>
    </w:div>
    <w:div w:id="1262488825">
      <w:bodyDiv w:val="1"/>
      <w:marLeft w:val="0"/>
      <w:marRight w:val="0"/>
      <w:marTop w:val="0"/>
      <w:marBottom w:val="0"/>
      <w:divBdr>
        <w:top w:val="none" w:sz="0" w:space="0" w:color="auto"/>
        <w:left w:val="none" w:sz="0" w:space="0" w:color="auto"/>
        <w:bottom w:val="none" w:sz="0" w:space="0" w:color="auto"/>
        <w:right w:val="none" w:sz="0" w:space="0" w:color="auto"/>
      </w:divBdr>
    </w:div>
    <w:div w:id="1273321678">
      <w:bodyDiv w:val="1"/>
      <w:marLeft w:val="0"/>
      <w:marRight w:val="0"/>
      <w:marTop w:val="0"/>
      <w:marBottom w:val="0"/>
      <w:divBdr>
        <w:top w:val="none" w:sz="0" w:space="0" w:color="auto"/>
        <w:left w:val="none" w:sz="0" w:space="0" w:color="auto"/>
        <w:bottom w:val="none" w:sz="0" w:space="0" w:color="auto"/>
        <w:right w:val="none" w:sz="0" w:space="0" w:color="auto"/>
      </w:divBdr>
    </w:div>
    <w:div w:id="1292974298">
      <w:bodyDiv w:val="1"/>
      <w:marLeft w:val="0"/>
      <w:marRight w:val="0"/>
      <w:marTop w:val="0"/>
      <w:marBottom w:val="0"/>
      <w:divBdr>
        <w:top w:val="none" w:sz="0" w:space="0" w:color="auto"/>
        <w:left w:val="none" w:sz="0" w:space="0" w:color="auto"/>
        <w:bottom w:val="none" w:sz="0" w:space="0" w:color="auto"/>
        <w:right w:val="none" w:sz="0" w:space="0" w:color="auto"/>
      </w:divBdr>
    </w:div>
    <w:div w:id="1300261993">
      <w:bodyDiv w:val="1"/>
      <w:marLeft w:val="0"/>
      <w:marRight w:val="0"/>
      <w:marTop w:val="0"/>
      <w:marBottom w:val="0"/>
      <w:divBdr>
        <w:top w:val="none" w:sz="0" w:space="0" w:color="auto"/>
        <w:left w:val="none" w:sz="0" w:space="0" w:color="auto"/>
        <w:bottom w:val="none" w:sz="0" w:space="0" w:color="auto"/>
        <w:right w:val="none" w:sz="0" w:space="0" w:color="auto"/>
      </w:divBdr>
    </w:div>
    <w:div w:id="1361273748">
      <w:bodyDiv w:val="1"/>
      <w:marLeft w:val="0"/>
      <w:marRight w:val="0"/>
      <w:marTop w:val="0"/>
      <w:marBottom w:val="0"/>
      <w:divBdr>
        <w:top w:val="none" w:sz="0" w:space="0" w:color="auto"/>
        <w:left w:val="none" w:sz="0" w:space="0" w:color="auto"/>
        <w:bottom w:val="none" w:sz="0" w:space="0" w:color="auto"/>
        <w:right w:val="none" w:sz="0" w:space="0" w:color="auto"/>
      </w:divBdr>
      <w:divsChild>
        <w:div w:id="668022520">
          <w:marLeft w:val="547"/>
          <w:marRight w:val="0"/>
          <w:marTop w:val="77"/>
          <w:marBottom w:val="0"/>
          <w:divBdr>
            <w:top w:val="none" w:sz="0" w:space="0" w:color="auto"/>
            <w:left w:val="none" w:sz="0" w:space="0" w:color="auto"/>
            <w:bottom w:val="none" w:sz="0" w:space="0" w:color="auto"/>
            <w:right w:val="none" w:sz="0" w:space="0" w:color="auto"/>
          </w:divBdr>
        </w:div>
      </w:divsChild>
    </w:div>
    <w:div w:id="1366834425">
      <w:bodyDiv w:val="1"/>
      <w:marLeft w:val="0"/>
      <w:marRight w:val="0"/>
      <w:marTop w:val="0"/>
      <w:marBottom w:val="0"/>
      <w:divBdr>
        <w:top w:val="none" w:sz="0" w:space="0" w:color="auto"/>
        <w:left w:val="none" w:sz="0" w:space="0" w:color="auto"/>
        <w:bottom w:val="none" w:sz="0" w:space="0" w:color="auto"/>
        <w:right w:val="none" w:sz="0" w:space="0" w:color="auto"/>
      </w:divBdr>
      <w:divsChild>
        <w:div w:id="369645730">
          <w:marLeft w:val="547"/>
          <w:marRight w:val="0"/>
          <w:marTop w:val="77"/>
          <w:marBottom w:val="0"/>
          <w:divBdr>
            <w:top w:val="none" w:sz="0" w:space="0" w:color="auto"/>
            <w:left w:val="none" w:sz="0" w:space="0" w:color="auto"/>
            <w:bottom w:val="none" w:sz="0" w:space="0" w:color="auto"/>
            <w:right w:val="none" w:sz="0" w:space="0" w:color="auto"/>
          </w:divBdr>
        </w:div>
        <w:div w:id="897975384">
          <w:marLeft w:val="547"/>
          <w:marRight w:val="0"/>
          <w:marTop w:val="77"/>
          <w:marBottom w:val="0"/>
          <w:divBdr>
            <w:top w:val="none" w:sz="0" w:space="0" w:color="auto"/>
            <w:left w:val="none" w:sz="0" w:space="0" w:color="auto"/>
            <w:bottom w:val="none" w:sz="0" w:space="0" w:color="auto"/>
            <w:right w:val="none" w:sz="0" w:space="0" w:color="auto"/>
          </w:divBdr>
        </w:div>
        <w:div w:id="1943418466">
          <w:marLeft w:val="547"/>
          <w:marRight w:val="0"/>
          <w:marTop w:val="77"/>
          <w:marBottom w:val="0"/>
          <w:divBdr>
            <w:top w:val="none" w:sz="0" w:space="0" w:color="auto"/>
            <w:left w:val="none" w:sz="0" w:space="0" w:color="auto"/>
            <w:bottom w:val="none" w:sz="0" w:space="0" w:color="auto"/>
            <w:right w:val="none" w:sz="0" w:space="0" w:color="auto"/>
          </w:divBdr>
        </w:div>
        <w:div w:id="2013995000">
          <w:marLeft w:val="547"/>
          <w:marRight w:val="0"/>
          <w:marTop w:val="77"/>
          <w:marBottom w:val="0"/>
          <w:divBdr>
            <w:top w:val="none" w:sz="0" w:space="0" w:color="auto"/>
            <w:left w:val="none" w:sz="0" w:space="0" w:color="auto"/>
            <w:bottom w:val="none" w:sz="0" w:space="0" w:color="auto"/>
            <w:right w:val="none" w:sz="0" w:space="0" w:color="auto"/>
          </w:divBdr>
        </w:div>
        <w:div w:id="2031449328">
          <w:marLeft w:val="547"/>
          <w:marRight w:val="0"/>
          <w:marTop w:val="77"/>
          <w:marBottom w:val="0"/>
          <w:divBdr>
            <w:top w:val="none" w:sz="0" w:space="0" w:color="auto"/>
            <w:left w:val="none" w:sz="0" w:space="0" w:color="auto"/>
            <w:bottom w:val="none" w:sz="0" w:space="0" w:color="auto"/>
            <w:right w:val="none" w:sz="0" w:space="0" w:color="auto"/>
          </w:divBdr>
        </w:div>
      </w:divsChild>
    </w:div>
    <w:div w:id="1409428264">
      <w:bodyDiv w:val="1"/>
      <w:marLeft w:val="0"/>
      <w:marRight w:val="0"/>
      <w:marTop w:val="0"/>
      <w:marBottom w:val="0"/>
      <w:divBdr>
        <w:top w:val="none" w:sz="0" w:space="0" w:color="auto"/>
        <w:left w:val="none" w:sz="0" w:space="0" w:color="auto"/>
        <w:bottom w:val="none" w:sz="0" w:space="0" w:color="auto"/>
        <w:right w:val="none" w:sz="0" w:space="0" w:color="auto"/>
      </w:divBdr>
    </w:div>
    <w:div w:id="1422212836">
      <w:bodyDiv w:val="1"/>
      <w:marLeft w:val="0"/>
      <w:marRight w:val="0"/>
      <w:marTop w:val="0"/>
      <w:marBottom w:val="0"/>
      <w:divBdr>
        <w:top w:val="none" w:sz="0" w:space="0" w:color="auto"/>
        <w:left w:val="none" w:sz="0" w:space="0" w:color="auto"/>
        <w:bottom w:val="none" w:sz="0" w:space="0" w:color="auto"/>
        <w:right w:val="none" w:sz="0" w:space="0" w:color="auto"/>
      </w:divBdr>
    </w:div>
    <w:div w:id="1463693273">
      <w:bodyDiv w:val="1"/>
      <w:marLeft w:val="0"/>
      <w:marRight w:val="0"/>
      <w:marTop w:val="0"/>
      <w:marBottom w:val="0"/>
      <w:divBdr>
        <w:top w:val="none" w:sz="0" w:space="0" w:color="auto"/>
        <w:left w:val="none" w:sz="0" w:space="0" w:color="auto"/>
        <w:bottom w:val="none" w:sz="0" w:space="0" w:color="auto"/>
        <w:right w:val="none" w:sz="0" w:space="0" w:color="auto"/>
      </w:divBdr>
    </w:div>
    <w:div w:id="1474178194">
      <w:bodyDiv w:val="1"/>
      <w:marLeft w:val="0"/>
      <w:marRight w:val="0"/>
      <w:marTop w:val="0"/>
      <w:marBottom w:val="0"/>
      <w:divBdr>
        <w:top w:val="none" w:sz="0" w:space="0" w:color="auto"/>
        <w:left w:val="none" w:sz="0" w:space="0" w:color="auto"/>
        <w:bottom w:val="none" w:sz="0" w:space="0" w:color="auto"/>
        <w:right w:val="none" w:sz="0" w:space="0" w:color="auto"/>
      </w:divBdr>
      <w:divsChild>
        <w:div w:id="721711898">
          <w:marLeft w:val="547"/>
          <w:marRight w:val="0"/>
          <w:marTop w:val="77"/>
          <w:marBottom w:val="0"/>
          <w:divBdr>
            <w:top w:val="none" w:sz="0" w:space="0" w:color="auto"/>
            <w:left w:val="none" w:sz="0" w:space="0" w:color="auto"/>
            <w:bottom w:val="none" w:sz="0" w:space="0" w:color="auto"/>
            <w:right w:val="none" w:sz="0" w:space="0" w:color="auto"/>
          </w:divBdr>
        </w:div>
      </w:divsChild>
    </w:div>
    <w:div w:id="1490706029">
      <w:bodyDiv w:val="1"/>
      <w:marLeft w:val="0"/>
      <w:marRight w:val="0"/>
      <w:marTop w:val="0"/>
      <w:marBottom w:val="0"/>
      <w:divBdr>
        <w:top w:val="none" w:sz="0" w:space="0" w:color="auto"/>
        <w:left w:val="none" w:sz="0" w:space="0" w:color="auto"/>
        <w:bottom w:val="none" w:sz="0" w:space="0" w:color="auto"/>
        <w:right w:val="none" w:sz="0" w:space="0" w:color="auto"/>
      </w:divBdr>
    </w:div>
    <w:div w:id="1506243916">
      <w:bodyDiv w:val="1"/>
      <w:marLeft w:val="0"/>
      <w:marRight w:val="0"/>
      <w:marTop w:val="0"/>
      <w:marBottom w:val="0"/>
      <w:divBdr>
        <w:top w:val="none" w:sz="0" w:space="0" w:color="auto"/>
        <w:left w:val="none" w:sz="0" w:space="0" w:color="auto"/>
        <w:bottom w:val="none" w:sz="0" w:space="0" w:color="auto"/>
        <w:right w:val="none" w:sz="0" w:space="0" w:color="auto"/>
      </w:divBdr>
    </w:div>
    <w:div w:id="1511529028">
      <w:bodyDiv w:val="1"/>
      <w:marLeft w:val="0"/>
      <w:marRight w:val="0"/>
      <w:marTop w:val="0"/>
      <w:marBottom w:val="0"/>
      <w:divBdr>
        <w:top w:val="none" w:sz="0" w:space="0" w:color="auto"/>
        <w:left w:val="none" w:sz="0" w:space="0" w:color="auto"/>
        <w:bottom w:val="none" w:sz="0" w:space="0" w:color="auto"/>
        <w:right w:val="none" w:sz="0" w:space="0" w:color="auto"/>
      </w:divBdr>
    </w:div>
    <w:div w:id="1540163434">
      <w:bodyDiv w:val="1"/>
      <w:marLeft w:val="0"/>
      <w:marRight w:val="0"/>
      <w:marTop w:val="0"/>
      <w:marBottom w:val="0"/>
      <w:divBdr>
        <w:top w:val="none" w:sz="0" w:space="0" w:color="auto"/>
        <w:left w:val="none" w:sz="0" w:space="0" w:color="auto"/>
        <w:bottom w:val="none" w:sz="0" w:space="0" w:color="auto"/>
        <w:right w:val="none" w:sz="0" w:space="0" w:color="auto"/>
      </w:divBdr>
    </w:div>
    <w:div w:id="1557278658">
      <w:bodyDiv w:val="1"/>
      <w:marLeft w:val="0"/>
      <w:marRight w:val="0"/>
      <w:marTop w:val="0"/>
      <w:marBottom w:val="0"/>
      <w:divBdr>
        <w:top w:val="none" w:sz="0" w:space="0" w:color="auto"/>
        <w:left w:val="none" w:sz="0" w:space="0" w:color="auto"/>
        <w:bottom w:val="none" w:sz="0" w:space="0" w:color="auto"/>
        <w:right w:val="none" w:sz="0" w:space="0" w:color="auto"/>
      </w:divBdr>
    </w:div>
    <w:div w:id="1605645733">
      <w:bodyDiv w:val="1"/>
      <w:marLeft w:val="0"/>
      <w:marRight w:val="0"/>
      <w:marTop w:val="0"/>
      <w:marBottom w:val="0"/>
      <w:divBdr>
        <w:top w:val="none" w:sz="0" w:space="0" w:color="auto"/>
        <w:left w:val="none" w:sz="0" w:space="0" w:color="auto"/>
        <w:bottom w:val="none" w:sz="0" w:space="0" w:color="auto"/>
        <w:right w:val="none" w:sz="0" w:space="0" w:color="auto"/>
      </w:divBdr>
    </w:div>
    <w:div w:id="1652246612">
      <w:bodyDiv w:val="1"/>
      <w:marLeft w:val="0"/>
      <w:marRight w:val="0"/>
      <w:marTop w:val="0"/>
      <w:marBottom w:val="0"/>
      <w:divBdr>
        <w:top w:val="none" w:sz="0" w:space="0" w:color="auto"/>
        <w:left w:val="none" w:sz="0" w:space="0" w:color="auto"/>
        <w:bottom w:val="none" w:sz="0" w:space="0" w:color="auto"/>
        <w:right w:val="none" w:sz="0" w:space="0" w:color="auto"/>
      </w:divBdr>
    </w:div>
    <w:div w:id="1662927539">
      <w:bodyDiv w:val="1"/>
      <w:marLeft w:val="0"/>
      <w:marRight w:val="0"/>
      <w:marTop w:val="0"/>
      <w:marBottom w:val="0"/>
      <w:divBdr>
        <w:top w:val="none" w:sz="0" w:space="0" w:color="auto"/>
        <w:left w:val="none" w:sz="0" w:space="0" w:color="auto"/>
        <w:bottom w:val="none" w:sz="0" w:space="0" w:color="auto"/>
        <w:right w:val="none" w:sz="0" w:space="0" w:color="auto"/>
      </w:divBdr>
    </w:div>
    <w:div w:id="1664814065">
      <w:bodyDiv w:val="1"/>
      <w:marLeft w:val="0"/>
      <w:marRight w:val="0"/>
      <w:marTop w:val="0"/>
      <w:marBottom w:val="0"/>
      <w:divBdr>
        <w:top w:val="none" w:sz="0" w:space="0" w:color="auto"/>
        <w:left w:val="none" w:sz="0" w:space="0" w:color="auto"/>
        <w:bottom w:val="none" w:sz="0" w:space="0" w:color="auto"/>
        <w:right w:val="none" w:sz="0" w:space="0" w:color="auto"/>
      </w:divBdr>
    </w:div>
    <w:div w:id="1673337834">
      <w:bodyDiv w:val="1"/>
      <w:marLeft w:val="0"/>
      <w:marRight w:val="0"/>
      <w:marTop w:val="0"/>
      <w:marBottom w:val="0"/>
      <w:divBdr>
        <w:top w:val="none" w:sz="0" w:space="0" w:color="auto"/>
        <w:left w:val="none" w:sz="0" w:space="0" w:color="auto"/>
        <w:bottom w:val="none" w:sz="0" w:space="0" w:color="auto"/>
        <w:right w:val="none" w:sz="0" w:space="0" w:color="auto"/>
      </w:divBdr>
    </w:div>
    <w:div w:id="1682007165">
      <w:bodyDiv w:val="1"/>
      <w:marLeft w:val="0"/>
      <w:marRight w:val="0"/>
      <w:marTop w:val="0"/>
      <w:marBottom w:val="0"/>
      <w:divBdr>
        <w:top w:val="none" w:sz="0" w:space="0" w:color="auto"/>
        <w:left w:val="none" w:sz="0" w:space="0" w:color="auto"/>
        <w:bottom w:val="none" w:sz="0" w:space="0" w:color="auto"/>
        <w:right w:val="none" w:sz="0" w:space="0" w:color="auto"/>
      </w:divBdr>
    </w:div>
    <w:div w:id="1707830156">
      <w:bodyDiv w:val="1"/>
      <w:marLeft w:val="0"/>
      <w:marRight w:val="0"/>
      <w:marTop w:val="0"/>
      <w:marBottom w:val="0"/>
      <w:divBdr>
        <w:top w:val="none" w:sz="0" w:space="0" w:color="auto"/>
        <w:left w:val="none" w:sz="0" w:space="0" w:color="auto"/>
        <w:bottom w:val="none" w:sz="0" w:space="0" w:color="auto"/>
        <w:right w:val="none" w:sz="0" w:space="0" w:color="auto"/>
      </w:divBdr>
    </w:div>
    <w:div w:id="1708794507">
      <w:bodyDiv w:val="1"/>
      <w:marLeft w:val="0"/>
      <w:marRight w:val="0"/>
      <w:marTop w:val="0"/>
      <w:marBottom w:val="0"/>
      <w:divBdr>
        <w:top w:val="none" w:sz="0" w:space="0" w:color="auto"/>
        <w:left w:val="none" w:sz="0" w:space="0" w:color="auto"/>
        <w:bottom w:val="none" w:sz="0" w:space="0" w:color="auto"/>
        <w:right w:val="none" w:sz="0" w:space="0" w:color="auto"/>
      </w:divBdr>
    </w:div>
    <w:div w:id="1710953116">
      <w:bodyDiv w:val="1"/>
      <w:marLeft w:val="0"/>
      <w:marRight w:val="0"/>
      <w:marTop w:val="0"/>
      <w:marBottom w:val="0"/>
      <w:divBdr>
        <w:top w:val="none" w:sz="0" w:space="0" w:color="auto"/>
        <w:left w:val="none" w:sz="0" w:space="0" w:color="auto"/>
        <w:bottom w:val="none" w:sz="0" w:space="0" w:color="auto"/>
        <w:right w:val="none" w:sz="0" w:space="0" w:color="auto"/>
      </w:divBdr>
    </w:div>
    <w:div w:id="1718893622">
      <w:bodyDiv w:val="1"/>
      <w:marLeft w:val="0"/>
      <w:marRight w:val="0"/>
      <w:marTop w:val="0"/>
      <w:marBottom w:val="0"/>
      <w:divBdr>
        <w:top w:val="none" w:sz="0" w:space="0" w:color="auto"/>
        <w:left w:val="none" w:sz="0" w:space="0" w:color="auto"/>
        <w:bottom w:val="none" w:sz="0" w:space="0" w:color="auto"/>
        <w:right w:val="none" w:sz="0" w:space="0" w:color="auto"/>
      </w:divBdr>
    </w:div>
    <w:div w:id="1722828729">
      <w:bodyDiv w:val="1"/>
      <w:marLeft w:val="0"/>
      <w:marRight w:val="0"/>
      <w:marTop w:val="0"/>
      <w:marBottom w:val="0"/>
      <w:divBdr>
        <w:top w:val="none" w:sz="0" w:space="0" w:color="auto"/>
        <w:left w:val="none" w:sz="0" w:space="0" w:color="auto"/>
        <w:bottom w:val="none" w:sz="0" w:space="0" w:color="auto"/>
        <w:right w:val="none" w:sz="0" w:space="0" w:color="auto"/>
      </w:divBdr>
    </w:div>
    <w:div w:id="1758166040">
      <w:bodyDiv w:val="1"/>
      <w:marLeft w:val="0"/>
      <w:marRight w:val="0"/>
      <w:marTop w:val="0"/>
      <w:marBottom w:val="0"/>
      <w:divBdr>
        <w:top w:val="none" w:sz="0" w:space="0" w:color="auto"/>
        <w:left w:val="none" w:sz="0" w:space="0" w:color="auto"/>
        <w:bottom w:val="none" w:sz="0" w:space="0" w:color="auto"/>
        <w:right w:val="none" w:sz="0" w:space="0" w:color="auto"/>
      </w:divBdr>
    </w:div>
    <w:div w:id="1884823780">
      <w:bodyDiv w:val="1"/>
      <w:marLeft w:val="0"/>
      <w:marRight w:val="0"/>
      <w:marTop w:val="0"/>
      <w:marBottom w:val="0"/>
      <w:divBdr>
        <w:top w:val="none" w:sz="0" w:space="0" w:color="auto"/>
        <w:left w:val="none" w:sz="0" w:space="0" w:color="auto"/>
        <w:bottom w:val="none" w:sz="0" w:space="0" w:color="auto"/>
        <w:right w:val="none" w:sz="0" w:space="0" w:color="auto"/>
      </w:divBdr>
    </w:div>
    <w:div w:id="1913194364">
      <w:bodyDiv w:val="1"/>
      <w:marLeft w:val="0"/>
      <w:marRight w:val="0"/>
      <w:marTop w:val="0"/>
      <w:marBottom w:val="0"/>
      <w:divBdr>
        <w:top w:val="none" w:sz="0" w:space="0" w:color="auto"/>
        <w:left w:val="none" w:sz="0" w:space="0" w:color="auto"/>
        <w:bottom w:val="none" w:sz="0" w:space="0" w:color="auto"/>
        <w:right w:val="none" w:sz="0" w:space="0" w:color="auto"/>
      </w:divBdr>
    </w:div>
    <w:div w:id="1916089900">
      <w:bodyDiv w:val="1"/>
      <w:marLeft w:val="0"/>
      <w:marRight w:val="0"/>
      <w:marTop w:val="0"/>
      <w:marBottom w:val="0"/>
      <w:divBdr>
        <w:top w:val="none" w:sz="0" w:space="0" w:color="auto"/>
        <w:left w:val="none" w:sz="0" w:space="0" w:color="auto"/>
        <w:bottom w:val="none" w:sz="0" w:space="0" w:color="auto"/>
        <w:right w:val="none" w:sz="0" w:space="0" w:color="auto"/>
      </w:divBdr>
    </w:div>
    <w:div w:id="1973241436">
      <w:bodyDiv w:val="1"/>
      <w:marLeft w:val="0"/>
      <w:marRight w:val="0"/>
      <w:marTop w:val="0"/>
      <w:marBottom w:val="0"/>
      <w:divBdr>
        <w:top w:val="none" w:sz="0" w:space="0" w:color="auto"/>
        <w:left w:val="none" w:sz="0" w:space="0" w:color="auto"/>
        <w:bottom w:val="none" w:sz="0" w:space="0" w:color="auto"/>
        <w:right w:val="none" w:sz="0" w:space="0" w:color="auto"/>
      </w:divBdr>
    </w:div>
    <w:div w:id="1981878643">
      <w:bodyDiv w:val="1"/>
      <w:marLeft w:val="0"/>
      <w:marRight w:val="0"/>
      <w:marTop w:val="0"/>
      <w:marBottom w:val="0"/>
      <w:divBdr>
        <w:top w:val="none" w:sz="0" w:space="0" w:color="auto"/>
        <w:left w:val="none" w:sz="0" w:space="0" w:color="auto"/>
        <w:bottom w:val="none" w:sz="0" w:space="0" w:color="auto"/>
        <w:right w:val="none" w:sz="0" w:space="0" w:color="auto"/>
      </w:divBdr>
      <w:divsChild>
        <w:div w:id="924648288">
          <w:marLeft w:val="547"/>
          <w:marRight w:val="0"/>
          <w:marTop w:val="77"/>
          <w:marBottom w:val="0"/>
          <w:divBdr>
            <w:top w:val="none" w:sz="0" w:space="0" w:color="auto"/>
            <w:left w:val="none" w:sz="0" w:space="0" w:color="auto"/>
            <w:bottom w:val="none" w:sz="0" w:space="0" w:color="auto"/>
            <w:right w:val="none" w:sz="0" w:space="0" w:color="auto"/>
          </w:divBdr>
        </w:div>
      </w:divsChild>
    </w:div>
    <w:div w:id="1994138465">
      <w:bodyDiv w:val="1"/>
      <w:marLeft w:val="0"/>
      <w:marRight w:val="0"/>
      <w:marTop w:val="0"/>
      <w:marBottom w:val="0"/>
      <w:divBdr>
        <w:top w:val="none" w:sz="0" w:space="0" w:color="auto"/>
        <w:left w:val="none" w:sz="0" w:space="0" w:color="auto"/>
        <w:bottom w:val="none" w:sz="0" w:space="0" w:color="auto"/>
        <w:right w:val="none" w:sz="0" w:space="0" w:color="auto"/>
      </w:divBdr>
    </w:div>
    <w:div w:id="2013876931">
      <w:bodyDiv w:val="1"/>
      <w:marLeft w:val="0"/>
      <w:marRight w:val="0"/>
      <w:marTop w:val="0"/>
      <w:marBottom w:val="0"/>
      <w:divBdr>
        <w:top w:val="none" w:sz="0" w:space="0" w:color="auto"/>
        <w:left w:val="none" w:sz="0" w:space="0" w:color="auto"/>
        <w:bottom w:val="none" w:sz="0" w:space="0" w:color="auto"/>
        <w:right w:val="none" w:sz="0" w:space="0" w:color="auto"/>
      </w:divBdr>
    </w:div>
    <w:div w:id="2060132646">
      <w:bodyDiv w:val="1"/>
      <w:marLeft w:val="0"/>
      <w:marRight w:val="0"/>
      <w:marTop w:val="0"/>
      <w:marBottom w:val="0"/>
      <w:divBdr>
        <w:top w:val="none" w:sz="0" w:space="0" w:color="auto"/>
        <w:left w:val="none" w:sz="0" w:space="0" w:color="auto"/>
        <w:bottom w:val="none" w:sz="0" w:space="0" w:color="auto"/>
        <w:right w:val="none" w:sz="0" w:space="0" w:color="auto"/>
      </w:divBdr>
    </w:div>
    <w:div w:id="208440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5.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4.xml"/><Relationship Id="rId25" Type="http://schemas.openxmlformats.org/officeDocument/2006/relationships/chart" Target="charts/chart7.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2.png"/><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Users\stecar\AppData\Roaming\Microsoft\Word\www.pollinate.com.au" TargetMode="External"/><Relationship Id="rId24" Type="http://schemas.openxmlformats.org/officeDocument/2006/relationships/image" Target="media/image6.png"/><Relationship Id="rId32"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5.jpeg"/><Relationship Id="rId28" Type="http://schemas.openxmlformats.org/officeDocument/2006/relationships/chart" Target="charts/chart9.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chart" Target="charts/chart1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4.png"/><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0208678009168182E-2"/>
          <c:y val="1.7295727913728742E-2"/>
          <c:w val="0.97717409794636001"/>
          <c:h val="0.70521534772941274"/>
        </c:manualLayout>
      </c:layout>
      <c:barChart>
        <c:barDir val="col"/>
        <c:grouping val="stacked"/>
        <c:varyColors val="0"/>
        <c:ser>
          <c:idx val="0"/>
          <c:order val="0"/>
          <c:tx>
            <c:strRef>
              <c:f>Sheet1!$B$1</c:f>
              <c:strCache>
                <c:ptCount val="1"/>
                <c:pt idx="0">
                  <c:v>Top of Mind spontaneous awareness</c:v>
                </c:pt>
              </c:strCache>
            </c:strRef>
          </c:tx>
          <c:spPr>
            <a:solidFill>
              <a:schemeClr val="tx1"/>
            </a:solidFill>
          </c:spPr>
          <c:invertIfNegative val="0"/>
          <c:dPt>
            <c:idx val="0"/>
            <c:invertIfNegative val="0"/>
            <c:bubble3D val="0"/>
          </c:dPt>
          <c:dPt>
            <c:idx val="1"/>
            <c:invertIfNegative val="0"/>
            <c:bubble3D val="0"/>
          </c:dPt>
          <c:dPt>
            <c:idx val="2"/>
            <c:invertIfNegative val="0"/>
            <c:bubble3D val="0"/>
          </c:dPt>
          <c:dPt>
            <c:idx val="3"/>
            <c:invertIfNegative val="0"/>
            <c:bubble3D val="0"/>
          </c:dPt>
          <c:dPt>
            <c:idx val="5"/>
            <c:invertIfNegative val="0"/>
            <c:bubble3D val="0"/>
          </c:dPt>
          <c:dPt>
            <c:idx val="6"/>
            <c:invertIfNegative val="0"/>
            <c:bubble3D val="0"/>
          </c:dPt>
          <c:dLbls>
            <c:dLbl>
              <c:idx val="3"/>
              <c:delete val="1"/>
            </c:dLbl>
            <c:dLbl>
              <c:idx val="6"/>
              <c:delete val="1"/>
            </c:dLbl>
            <c:dLbl>
              <c:idx val="7"/>
              <c:delete val="1"/>
            </c:dLbl>
            <c:txPr>
              <a:bodyPr/>
              <a:lstStyle/>
              <a:p>
                <a:pPr>
                  <a:defRPr sz="900">
                    <a:solidFill>
                      <a:schemeClr val="bg1"/>
                    </a:solidFill>
                  </a:defRPr>
                </a:pPr>
                <a:endParaRPr lang="en-US"/>
              </a:p>
            </c:txPr>
            <c:showLegendKey val="0"/>
            <c:showVal val="1"/>
            <c:showCatName val="0"/>
            <c:showSerName val="0"/>
            <c:showPercent val="0"/>
            <c:showBubbleSize val="0"/>
            <c:showLeaderLines val="0"/>
          </c:dLbls>
          <c:cat>
            <c:strRef>
              <c:f>Sheet1!$A$2:$A$9</c:f>
              <c:strCache>
                <c:ptCount val="8"/>
                <c:pt idx="0">
                  <c:v>Heart Foundation Tick</c:v>
                </c:pt>
                <c:pt idx="1">
                  <c:v>Nutrition Information Panel</c:v>
                </c:pt>
                <c:pt idx="2">
                  <c:v>Daily Intake Guide Labelling</c:v>
                </c:pt>
                <c:pt idx="3">
                  <c:v>HSR - Sep'14</c:v>
                </c:pt>
                <c:pt idx="4">
                  <c:v>HSR - Apr'15</c:v>
                </c:pt>
                <c:pt idx="5">
                  <c:v>HSR - Sep'15</c:v>
                </c:pt>
                <c:pt idx="6">
                  <c:v>Glycemic Index (GI)</c:v>
                </c:pt>
                <c:pt idx="7">
                  <c:v>Be Treatwise</c:v>
                </c:pt>
              </c:strCache>
            </c:strRef>
          </c:cat>
          <c:val>
            <c:numRef>
              <c:f>Sheet1!$B$2:$B$9</c:f>
              <c:numCache>
                <c:formatCode>0%</c:formatCode>
                <c:ptCount val="8"/>
                <c:pt idx="0">
                  <c:v>0.6</c:v>
                </c:pt>
                <c:pt idx="1">
                  <c:v>0.03</c:v>
                </c:pt>
                <c:pt idx="2">
                  <c:v>0.01</c:v>
                </c:pt>
                <c:pt idx="3">
                  <c:v>0</c:v>
                </c:pt>
                <c:pt idx="4">
                  <c:v>0.03</c:v>
                </c:pt>
                <c:pt idx="5">
                  <c:v>0.08</c:v>
                </c:pt>
                <c:pt idx="6">
                  <c:v>0.02</c:v>
                </c:pt>
                <c:pt idx="7">
                  <c:v>0</c:v>
                </c:pt>
              </c:numCache>
            </c:numRef>
          </c:val>
        </c:ser>
        <c:ser>
          <c:idx val="1"/>
          <c:order val="1"/>
          <c:tx>
            <c:strRef>
              <c:f>Sheet1!$C$1</c:f>
              <c:strCache>
                <c:ptCount val="1"/>
                <c:pt idx="0">
                  <c:v>Total spontaneous awareness</c:v>
                </c:pt>
              </c:strCache>
            </c:strRef>
          </c:tx>
          <c:spPr>
            <a:solidFill>
              <a:schemeClr val="bg1">
                <a:lumMod val="75000"/>
              </a:schemeClr>
            </a:solidFill>
          </c:spPr>
          <c:invertIfNegative val="0"/>
          <c:dLbls>
            <c:dLbl>
              <c:idx val="7"/>
              <c:delete val="1"/>
            </c:dLbl>
            <c:txPr>
              <a:bodyPr/>
              <a:lstStyle/>
              <a:p>
                <a:pPr>
                  <a:defRPr sz="900"/>
                </a:pPr>
                <a:endParaRPr lang="en-US"/>
              </a:p>
            </c:txPr>
            <c:showLegendKey val="0"/>
            <c:showVal val="1"/>
            <c:showCatName val="0"/>
            <c:showSerName val="0"/>
            <c:showPercent val="0"/>
            <c:showBubbleSize val="0"/>
            <c:showLeaderLines val="0"/>
          </c:dLbls>
          <c:cat>
            <c:strRef>
              <c:f>Sheet1!$A$2:$A$9</c:f>
              <c:strCache>
                <c:ptCount val="8"/>
                <c:pt idx="0">
                  <c:v>Heart Foundation Tick</c:v>
                </c:pt>
                <c:pt idx="1">
                  <c:v>Nutrition Information Panel</c:v>
                </c:pt>
                <c:pt idx="2">
                  <c:v>Daily Intake Guide Labelling</c:v>
                </c:pt>
                <c:pt idx="3">
                  <c:v>HSR - Sep'14</c:v>
                </c:pt>
                <c:pt idx="4">
                  <c:v>HSR - Apr'15</c:v>
                </c:pt>
                <c:pt idx="5">
                  <c:v>HSR - Sep'15</c:v>
                </c:pt>
                <c:pt idx="6">
                  <c:v>Glycemic Index (GI)</c:v>
                </c:pt>
                <c:pt idx="7">
                  <c:v>Be Treatwise</c:v>
                </c:pt>
              </c:strCache>
            </c:strRef>
          </c:cat>
          <c:val>
            <c:numRef>
              <c:f>Sheet1!$C$2:$C$9</c:f>
              <c:numCache>
                <c:formatCode>0%</c:formatCode>
                <c:ptCount val="8"/>
                <c:pt idx="0">
                  <c:v>8.0000000000000071E-2</c:v>
                </c:pt>
                <c:pt idx="1">
                  <c:v>0.06</c:v>
                </c:pt>
                <c:pt idx="2">
                  <c:v>0.03</c:v>
                </c:pt>
                <c:pt idx="3">
                  <c:v>0</c:v>
                </c:pt>
                <c:pt idx="4">
                  <c:v>2.5856549489210005E-2</c:v>
                </c:pt>
                <c:pt idx="5">
                  <c:v>0.08</c:v>
                </c:pt>
                <c:pt idx="6">
                  <c:v>0.05</c:v>
                </c:pt>
                <c:pt idx="7">
                  <c:v>0</c:v>
                </c:pt>
              </c:numCache>
            </c:numRef>
          </c:val>
        </c:ser>
        <c:ser>
          <c:idx val="2"/>
          <c:order val="2"/>
          <c:tx>
            <c:strRef>
              <c:f>Sheet1!$D$1</c:f>
              <c:strCache>
                <c:ptCount val="1"/>
                <c:pt idx="0">
                  <c:v>Prompted awareness</c:v>
                </c:pt>
              </c:strCache>
            </c:strRef>
          </c:tx>
          <c:spPr>
            <a:solidFill>
              <a:schemeClr val="accent6"/>
            </a:solidFill>
          </c:spPr>
          <c:invertIfNegative val="0"/>
          <c:dPt>
            <c:idx val="3"/>
            <c:invertIfNegative val="0"/>
            <c:bubble3D val="0"/>
          </c:dPt>
          <c:dLbls>
            <c:dLbl>
              <c:idx val="0"/>
              <c:layout>
                <c:manualLayout>
                  <c:x val="-2.4095288327635207E-3"/>
                  <c:y val="-0.10551765966815942"/>
                </c:manualLayout>
              </c:layout>
              <c:tx>
                <c:rich>
                  <a:bodyPr/>
                  <a:lstStyle/>
                  <a:p>
                    <a:r>
                      <a:rPr lang="en-US" sz="900" b="0" dirty="0" smtClean="0">
                        <a:solidFill>
                          <a:schemeClr val="tx1"/>
                        </a:solidFill>
                      </a:rPr>
                      <a:t>88%</a:t>
                    </a:r>
                    <a:endParaRPr lang="en-US" dirty="0"/>
                  </a:p>
                </c:rich>
              </c:tx>
              <c:showLegendKey val="0"/>
              <c:showVal val="1"/>
              <c:showCatName val="0"/>
              <c:showSerName val="0"/>
              <c:showPercent val="0"/>
              <c:showBubbleSize val="0"/>
            </c:dLbl>
            <c:dLbl>
              <c:idx val="1"/>
              <c:layout>
                <c:manualLayout>
                  <c:x val="0"/>
                  <c:y val="-0.25123252301942722"/>
                </c:manualLayout>
              </c:layout>
              <c:tx>
                <c:rich>
                  <a:bodyPr/>
                  <a:lstStyle/>
                  <a:p>
                    <a:r>
                      <a:rPr lang="en-US" sz="900" b="0" dirty="0" smtClean="0">
                        <a:solidFill>
                          <a:schemeClr val="tx1"/>
                        </a:solidFill>
                      </a:rPr>
                      <a:t>71%</a:t>
                    </a:r>
                    <a:endParaRPr lang="en-US" dirty="0"/>
                  </a:p>
                </c:rich>
              </c:tx>
              <c:showLegendKey val="0"/>
              <c:showVal val="1"/>
              <c:showCatName val="0"/>
              <c:showSerName val="0"/>
              <c:showPercent val="0"/>
              <c:showBubbleSize val="0"/>
            </c:dLbl>
            <c:dLbl>
              <c:idx val="2"/>
              <c:layout>
                <c:manualLayout>
                  <c:x val="0"/>
                  <c:y val="-0.22108462025709588"/>
                </c:manualLayout>
              </c:layout>
              <c:tx>
                <c:rich>
                  <a:bodyPr/>
                  <a:lstStyle/>
                  <a:p>
                    <a:r>
                      <a:rPr lang="en-US" sz="900" b="0" dirty="0" smtClean="0">
                        <a:solidFill>
                          <a:schemeClr val="tx1"/>
                        </a:solidFill>
                      </a:rPr>
                      <a:t>57%</a:t>
                    </a:r>
                    <a:endParaRPr lang="en-US" dirty="0"/>
                  </a:p>
                </c:rich>
              </c:tx>
              <c:showLegendKey val="0"/>
              <c:showVal val="1"/>
              <c:showCatName val="0"/>
              <c:showSerName val="0"/>
              <c:showPercent val="0"/>
              <c:showBubbleSize val="0"/>
            </c:dLbl>
            <c:dLbl>
              <c:idx val="3"/>
              <c:layout>
                <c:manualLayout>
                  <c:x val="0"/>
                  <c:y val="-8.0394407366216697E-2"/>
                </c:manualLayout>
              </c:layout>
              <c:tx>
                <c:rich>
                  <a:bodyPr/>
                  <a:lstStyle/>
                  <a:p>
                    <a:r>
                      <a:rPr lang="en-US" sz="900" b="0" dirty="0" smtClean="0">
                        <a:solidFill>
                          <a:schemeClr val="tx1"/>
                        </a:solidFill>
                      </a:rPr>
                      <a:t>13%</a:t>
                    </a:r>
                    <a:endParaRPr lang="en-US" b="1" dirty="0">
                      <a:solidFill>
                        <a:schemeClr val="bg1"/>
                      </a:solidFill>
                    </a:endParaRPr>
                  </a:p>
                </c:rich>
              </c:tx>
              <c:showLegendKey val="0"/>
              <c:showVal val="1"/>
              <c:showCatName val="0"/>
              <c:showSerName val="0"/>
              <c:showPercent val="0"/>
              <c:showBubbleSize val="0"/>
            </c:dLbl>
            <c:dLbl>
              <c:idx val="4"/>
              <c:layout>
                <c:manualLayout>
                  <c:x val="0"/>
                  <c:y val="-0.13064091197010214"/>
                </c:manualLayout>
              </c:layout>
              <c:tx>
                <c:rich>
                  <a:bodyPr/>
                  <a:lstStyle/>
                  <a:p>
                    <a:r>
                      <a:rPr lang="en-US" sz="900" b="0" dirty="0" smtClean="0">
                        <a:solidFill>
                          <a:schemeClr val="tx1"/>
                        </a:solidFill>
                      </a:rPr>
                      <a:t>33%</a:t>
                    </a:r>
                    <a:endParaRPr lang="en-US" dirty="0"/>
                  </a:p>
                </c:rich>
              </c:tx>
              <c:showLegendKey val="0"/>
              <c:showVal val="1"/>
              <c:showCatName val="0"/>
              <c:showSerName val="0"/>
              <c:showPercent val="0"/>
              <c:showBubbleSize val="0"/>
            </c:dLbl>
            <c:dLbl>
              <c:idx val="5"/>
              <c:layout>
                <c:manualLayout>
                  <c:x val="0"/>
                  <c:y val="-0.12561626150971361"/>
                </c:manualLayout>
              </c:layout>
              <c:tx>
                <c:rich>
                  <a:bodyPr/>
                  <a:lstStyle/>
                  <a:p>
                    <a:r>
                      <a:rPr lang="en-US" sz="900" b="0" dirty="0" smtClean="0">
                        <a:solidFill>
                          <a:schemeClr val="tx1"/>
                        </a:solidFill>
                      </a:rPr>
                      <a:t>42%</a:t>
                    </a:r>
                    <a:endParaRPr lang="en-US" dirty="0"/>
                  </a:p>
                </c:rich>
              </c:tx>
              <c:showLegendKey val="0"/>
              <c:showVal val="1"/>
              <c:showCatName val="0"/>
              <c:showSerName val="0"/>
              <c:showPercent val="0"/>
              <c:showBubbleSize val="0"/>
            </c:dLbl>
            <c:dLbl>
              <c:idx val="6"/>
              <c:layout>
                <c:manualLayout>
                  <c:x val="-2.4095288327635207E-3"/>
                  <c:y val="-0.10049300920777088"/>
                </c:manualLayout>
              </c:layout>
              <c:tx>
                <c:rich>
                  <a:bodyPr/>
                  <a:lstStyle/>
                  <a:p>
                    <a:r>
                      <a:rPr lang="en-US" sz="900" b="0" smtClean="0"/>
                      <a:t>24%</a:t>
                    </a:r>
                    <a:endParaRPr lang="en-US"/>
                  </a:p>
                </c:rich>
              </c:tx>
              <c:showLegendKey val="0"/>
              <c:showVal val="1"/>
              <c:showCatName val="0"/>
              <c:showSerName val="0"/>
              <c:showPercent val="0"/>
              <c:showBubbleSize val="0"/>
            </c:dLbl>
            <c:dLbl>
              <c:idx val="7"/>
              <c:layout>
                <c:manualLayout>
                  <c:x val="0"/>
                  <c:y val="-9.546835874738234E-2"/>
                </c:manualLayout>
              </c:layout>
              <c:showLegendKey val="0"/>
              <c:showVal val="1"/>
              <c:showCatName val="0"/>
              <c:showSerName val="0"/>
              <c:showPercent val="0"/>
              <c:showBubbleSize val="0"/>
            </c:dLbl>
            <c:txPr>
              <a:bodyPr/>
              <a:lstStyle/>
              <a:p>
                <a:pPr>
                  <a:defRPr sz="900" b="0">
                    <a:solidFill>
                      <a:schemeClr val="tx1"/>
                    </a:solidFill>
                  </a:defRPr>
                </a:pPr>
                <a:endParaRPr lang="en-US"/>
              </a:p>
            </c:txPr>
            <c:showLegendKey val="0"/>
            <c:showVal val="1"/>
            <c:showCatName val="0"/>
            <c:showSerName val="0"/>
            <c:showPercent val="0"/>
            <c:showBubbleSize val="0"/>
            <c:showLeaderLines val="0"/>
          </c:dLbls>
          <c:cat>
            <c:strRef>
              <c:f>Sheet1!$A$2:$A$9</c:f>
              <c:strCache>
                <c:ptCount val="8"/>
                <c:pt idx="0">
                  <c:v>Heart Foundation Tick</c:v>
                </c:pt>
                <c:pt idx="1">
                  <c:v>Nutrition Information Panel</c:v>
                </c:pt>
                <c:pt idx="2">
                  <c:v>Daily Intake Guide Labelling</c:v>
                </c:pt>
                <c:pt idx="3">
                  <c:v>HSR - Sep'14</c:v>
                </c:pt>
                <c:pt idx="4">
                  <c:v>HSR - Apr'15</c:v>
                </c:pt>
                <c:pt idx="5">
                  <c:v>HSR - Sep'15</c:v>
                </c:pt>
                <c:pt idx="6">
                  <c:v>Glycemic Index (GI)</c:v>
                </c:pt>
                <c:pt idx="7">
                  <c:v>Be Treatwise</c:v>
                </c:pt>
              </c:strCache>
            </c:strRef>
          </c:cat>
          <c:val>
            <c:numRef>
              <c:f>Sheet1!$D$2:$D$9</c:f>
              <c:numCache>
                <c:formatCode>0%</c:formatCode>
                <c:ptCount val="8"/>
                <c:pt idx="0">
                  <c:v>0.19999999999999996</c:v>
                </c:pt>
                <c:pt idx="1">
                  <c:v>0.62</c:v>
                </c:pt>
                <c:pt idx="2">
                  <c:v>0.52999999999999992</c:v>
                </c:pt>
                <c:pt idx="3">
                  <c:v>0.13</c:v>
                </c:pt>
                <c:pt idx="4">
                  <c:v>0.27601070782749004</c:v>
                </c:pt>
                <c:pt idx="5">
                  <c:v>0.26</c:v>
                </c:pt>
                <c:pt idx="6">
                  <c:v>0.16999999999999998</c:v>
                </c:pt>
                <c:pt idx="7">
                  <c:v>0.16</c:v>
                </c:pt>
              </c:numCache>
            </c:numRef>
          </c:val>
        </c:ser>
        <c:dLbls>
          <c:showLegendKey val="0"/>
          <c:showVal val="0"/>
          <c:showCatName val="0"/>
          <c:showSerName val="0"/>
          <c:showPercent val="0"/>
          <c:showBubbleSize val="0"/>
        </c:dLbls>
        <c:gapWidth val="50"/>
        <c:overlap val="100"/>
        <c:axId val="189830272"/>
        <c:axId val="189832576"/>
      </c:barChart>
      <c:catAx>
        <c:axId val="189830272"/>
        <c:scaling>
          <c:orientation val="minMax"/>
        </c:scaling>
        <c:delete val="0"/>
        <c:axPos val="b"/>
        <c:numFmt formatCode="General" sourceLinked="1"/>
        <c:majorTickMark val="none"/>
        <c:minorTickMark val="none"/>
        <c:tickLblPos val="nextTo"/>
        <c:txPr>
          <a:bodyPr/>
          <a:lstStyle/>
          <a:p>
            <a:pPr>
              <a:defRPr sz="800"/>
            </a:pPr>
            <a:endParaRPr lang="en-US"/>
          </a:p>
        </c:txPr>
        <c:crossAx val="189832576"/>
        <c:crosses val="autoZero"/>
        <c:auto val="1"/>
        <c:lblAlgn val="ctr"/>
        <c:lblOffset val="100"/>
        <c:noMultiLvlLbl val="0"/>
      </c:catAx>
      <c:valAx>
        <c:axId val="189832576"/>
        <c:scaling>
          <c:orientation val="minMax"/>
        </c:scaling>
        <c:delete val="0"/>
        <c:axPos val="l"/>
        <c:numFmt formatCode="0%" sourceLinked="0"/>
        <c:majorTickMark val="none"/>
        <c:minorTickMark val="none"/>
        <c:tickLblPos val="low"/>
        <c:txPr>
          <a:bodyPr/>
          <a:lstStyle/>
          <a:p>
            <a:pPr>
              <a:defRPr sz="700"/>
            </a:pPr>
            <a:endParaRPr lang="en-US"/>
          </a:p>
        </c:txPr>
        <c:crossAx val="189830272"/>
        <c:crosses val="autoZero"/>
        <c:crossBetween val="between"/>
      </c:valAx>
      <c:spPr>
        <a:noFill/>
      </c:spPr>
    </c:plotArea>
    <c:legend>
      <c:legendPos val="b"/>
      <c:layout>
        <c:manualLayout>
          <c:xMode val="edge"/>
          <c:yMode val="edge"/>
          <c:x val="5.3028606988771978E-4"/>
          <c:y val="0.91901493566449644"/>
          <c:w val="0.99879320707353192"/>
          <c:h val="6.1225104797046376E-2"/>
        </c:manualLayout>
      </c:layout>
      <c:overlay val="0"/>
      <c:txPr>
        <a:bodyPr/>
        <a:lstStyle/>
        <a:p>
          <a:pPr>
            <a:defRPr sz="900"/>
          </a:pPr>
          <a:endParaRPr lang="en-US"/>
        </a:p>
      </c:txPr>
    </c:legend>
    <c:plotVisOnly val="1"/>
    <c:dispBlanksAs val="gap"/>
    <c:showDLblsOverMax val="0"/>
  </c:chart>
  <c:txPr>
    <a:bodyPr/>
    <a:lstStyle/>
    <a:p>
      <a:pPr>
        <a:defRPr sz="1800"/>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6.4365975703432221E-2"/>
          <c:y val="1.9944618466000069E-2"/>
          <c:w val="0.93563312111573049"/>
          <c:h val="0.68979369590114326"/>
        </c:manualLayout>
      </c:layout>
      <c:barChart>
        <c:barDir val="col"/>
        <c:grouping val="stacked"/>
        <c:varyColors val="0"/>
        <c:ser>
          <c:idx val="0"/>
          <c:order val="0"/>
          <c:tx>
            <c:strRef>
              <c:f>Sheet1!$B$1</c:f>
              <c:strCache>
                <c:ptCount val="1"/>
                <c:pt idx="0">
                  <c:v>Top of Mind awareness</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5"/>
            <c:invertIfNegative val="0"/>
            <c:bubble3D val="0"/>
          </c:dPt>
          <c:dPt>
            <c:idx val="6"/>
            <c:invertIfNegative val="0"/>
            <c:bubble3D val="0"/>
          </c:dPt>
          <c:dLbls>
            <c:showLegendKey val="0"/>
            <c:showVal val="1"/>
            <c:showCatName val="0"/>
            <c:showSerName val="0"/>
            <c:showPercent val="0"/>
            <c:showBubbleSize val="0"/>
            <c:showLeaderLines val="0"/>
          </c:dLbls>
          <c:cat>
            <c:strRef>
              <c:f>Sheet1!$A$2:$A$3</c:f>
              <c:strCache>
                <c:ptCount val="2"/>
                <c:pt idx="0">
                  <c:v>All respondents</c:v>
                </c:pt>
                <c:pt idx="1">
                  <c:v>Respondents who have seen campaign</c:v>
                </c:pt>
              </c:strCache>
            </c:strRef>
          </c:cat>
          <c:val>
            <c:numRef>
              <c:f>Sheet1!$B$2:$B$3</c:f>
              <c:numCache>
                <c:formatCode>0%</c:formatCode>
                <c:ptCount val="2"/>
                <c:pt idx="0">
                  <c:v>0.08</c:v>
                </c:pt>
                <c:pt idx="1">
                  <c:v>0.18</c:v>
                </c:pt>
              </c:numCache>
            </c:numRef>
          </c:val>
        </c:ser>
        <c:ser>
          <c:idx val="1"/>
          <c:order val="1"/>
          <c:tx>
            <c:strRef>
              <c:f>Sheet1!$C$1</c:f>
              <c:strCache>
                <c:ptCount val="1"/>
                <c:pt idx="0">
                  <c:v>Total spontaneous awareness</c:v>
                </c:pt>
              </c:strCache>
            </c:strRef>
          </c:tx>
          <c:invertIfNegative val="0"/>
          <c:dLbls>
            <c:dLbl>
              <c:idx val="0"/>
              <c:tx>
                <c:rich>
                  <a:bodyPr/>
                  <a:lstStyle/>
                  <a:p>
                    <a:r>
                      <a:rPr lang="en-US" sz="1200" dirty="0" smtClean="0">
                        <a:latin typeface="Century Gothic" panose="020B0502020202020204" pitchFamily="34" charset="0"/>
                      </a:rPr>
                      <a:t>16%</a:t>
                    </a:r>
                    <a:endParaRPr lang="en-US" dirty="0"/>
                  </a:p>
                </c:rich>
              </c:tx>
              <c:showLegendKey val="0"/>
              <c:showVal val="1"/>
              <c:showCatName val="0"/>
              <c:showSerName val="0"/>
              <c:showPercent val="0"/>
              <c:showBubbleSize val="0"/>
            </c:dLbl>
            <c:dLbl>
              <c:idx val="1"/>
              <c:tx>
                <c:rich>
                  <a:bodyPr/>
                  <a:lstStyle/>
                  <a:p>
                    <a:r>
                      <a:rPr lang="en-US" sz="1200" dirty="0" smtClean="0">
                        <a:latin typeface="Century Gothic" panose="020B0502020202020204" pitchFamily="34" charset="0"/>
                      </a:rPr>
                      <a:t>27%</a:t>
                    </a:r>
                    <a:endParaRPr lang="en-US" dirty="0"/>
                  </a:p>
                </c:rich>
              </c:tx>
              <c:showLegendKey val="0"/>
              <c:showVal val="1"/>
              <c:showCatName val="0"/>
              <c:showSerName val="0"/>
              <c:showPercent val="0"/>
              <c:showBubbleSize val="0"/>
            </c:dLbl>
            <c:dLbl>
              <c:idx val="2"/>
              <c:tx>
                <c:rich>
                  <a:bodyPr/>
                  <a:lstStyle/>
                  <a:p>
                    <a:r>
                      <a:rPr lang="en-US" sz="1200" dirty="0" smtClean="0">
                        <a:latin typeface="Century Gothic" panose="020B0502020202020204" pitchFamily="34" charset="0"/>
                      </a:rPr>
                      <a:t>2%</a:t>
                    </a:r>
                    <a:endParaRPr lang="en-US" dirty="0"/>
                  </a:p>
                </c:rich>
              </c:tx>
              <c:showLegendKey val="0"/>
              <c:showVal val="1"/>
              <c:showCatName val="0"/>
              <c:showSerName val="0"/>
              <c:showPercent val="0"/>
              <c:showBubbleSize val="0"/>
            </c:dLbl>
            <c:dLbl>
              <c:idx val="3"/>
              <c:delete val="1"/>
            </c:dLbl>
            <c:dLbl>
              <c:idx val="4"/>
              <c:tx>
                <c:rich>
                  <a:bodyPr/>
                  <a:lstStyle/>
                  <a:p>
                    <a:r>
                      <a:rPr lang="en-US" sz="1200" dirty="0" smtClean="0">
                        <a:latin typeface="Century Gothic" panose="020B0502020202020204" pitchFamily="34" charset="0"/>
                      </a:rPr>
                      <a:t>6%</a:t>
                    </a:r>
                    <a:endParaRPr lang="en-US" dirty="0"/>
                  </a:p>
                </c:rich>
              </c:tx>
              <c:showLegendKey val="0"/>
              <c:showVal val="1"/>
              <c:showCatName val="0"/>
              <c:showSerName val="0"/>
              <c:showPercent val="0"/>
              <c:showBubbleSize val="0"/>
            </c:dLbl>
            <c:dLbl>
              <c:idx val="5"/>
              <c:tx>
                <c:rich>
                  <a:bodyPr/>
                  <a:lstStyle/>
                  <a:p>
                    <a:r>
                      <a:rPr lang="en-US" sz="1200" smtClean="0">
                        <a:latin typeface="Century Gothic" panose="020B0502020202020204" pitchFamily="34" charset="0"/>
                      </a:rPr>
                      <a:t>10%</a:t>
                    </a:r>
                    <a:endParaRPr lang="en-US"/>
                  </a:p>
                </c:rich>
              </c:tx>
              <c:showLegendKey val="0"/>
              <c:showVal val="1"/>
              <c:showCatName val="0"/>
              <c:showSerName val="0"/>
              <c:showPercent val="0"/>
              <c:showBubbleSize val="0"/>
            </c:dLbl>
            <c:dLbl>
              <c:idx val="6"/>
              <c:delete val="1"/>
            </c:dLbl>
            <c:showLegendKey val="0"/>
            <c:showVal val="1"/>
            <c:showCatName val="0"/>
            <c:showSerName val="0"/>
            <c:showPercent val="0"/>
            <c:showBubbleSize val="0"/>
            <c:showLeaderLines val="0"/>
          </c:dLbls>
          <c:cat>
            <c:strRef>
              <c:f>Sheet1!$A$2:$A$3</c:f>
              <c:strCache>
                <c:ptCount val="2"/>
                <c:pt idx="0">
                  <c:v>All respondents</c:v>
                </c:pt>
                <c:pt idx="1">
                  <c:v>Respondents who have seen campaign</c:v>
                </c:pt>
              </c:strCache>
            </c:strRef>
          </c:cat>
          <c:val>
            <c:numRef>
              <c:f>Sheet1!$C$2:$C$3</c:f>
              <c:numCache>
                <c:formatCode>0%</c:formatCode>
                <c:ptCount val="2"/>
                <c:pt idx="0">
                  <c:v>0.08</c:v>
                </c:pt>
                <c:pt idx="1">
                  <c:v>0.09</c:v>
                </c:pt>
              </c:numCache>
            </c:numRef>
          </c:val>
        </c:ser>
        <c:ser>
          <c:idx val="2"/>
          <c:order val="2"/>
          <c:tx>
            <c:strRef>
              <c:f>Sheet1!$D$1</c:f>
              <c:strCache>
                <c:ptCount val="1"/>
                <c:pt idx="0">
                  <c:v>Prompted awareness</c:v>
                </c:pt>
              </c:strCache>
            </c:strRef>
          </c:tx>
          <c:invertIfNegative val="0"/>
          <c:dPt>
            <c:idx val="3"/>
            <c:invertIfNegative val="0"/>
            <c:bubble3D val="0"/>
          </c:dPt>
          <c:dLbls>
            <c:dLbl>
              <c:idx val="0"/>
              <c:layout>
                <c:manualLayout>
                  <c:x val="-4.8163080950572356E-3"/>
                  <c:y val="-0.16370558012120615"/>
                </c:manualLayout>
              </c:layout>
              <c:tx>
                <c:rich>
                  <a:bodyPr/>
                  <a:lstStyle/>
                  <a:p>
                    <a:r>
                      <a:rPr lang="en-US" sz="1200" b="0" dirty="0" smtClean="0">
                        <a:solidFill>
                          <a:sysClr val="windowText" lastClr="000000"/>
                        </a:solidFill>
                        <a:latin typeface="Century Gothic" panose="020B0502020202020204" pitchFamily="34" charset="0"/>
                      </a:rPr>
                      <a:t>42%</a:t>
                    </a:r>
                    <a:endParaRPr lang="en-US" dirty="0"/>
                  </a:p>
                </c:rich>
              </c:tx>
              <c:showLegendKey val="0"/>
              <c:showVal val="1"/>
              <c:showCatName val="0"/>
              <c:showSerName val="0"/>
              <c:showPercent val="0"/>
              <c:showBubbleSize val="0"/>
            </c:dLbl>
            <c:dLbl>
              <c:idx val="1"/>
              <c:layout>
                <c:manualLayout>
                  <c:x val="0"/>
                  <c:y val="-0.22433727646239354"/>
                </c:manualLayout>
              </c:layout>
              <c:tx>
                <c:rich>
                  <a:bodyPr/>
                  <a:lstStyle/>
                  <a:p>
                    <a:r>
                      <a:rPr lang="en-US" sz="1200" b="0" dirty="0" smtClean="0">
                        <a:solidFill>
                          <a:sysClr val="windowText" lastClr="000000"/>
                        </a:solidFill>
                        <a:latin typeface="Century Gothic" panose="020B0502020202020204" pitchFamily="34" charset="0"/>
                      </a:rPr>
                      <a:t>68%</a:t>
                    </a:r>
                    <a:endParaRPr lang="en-US" dirty="0"/>
                  </a:p>
                </c:rich>
              </c:tx>
              <c:showLegendKey val="0"/>
              <c:showVal val="1"/>
              <c:showCatName val="0"/>
              <c:showSerName val="0"/>
              <c:showPercent val="0"/>
              <c:showBubbleSize val="0"/>
            </c:dLbl>
            <c:dLbl>
              <c:idx val="2"/>
              <c:tx>
                <c:rich>
                  <a:bodyPr/>
                  <a:lstStyle/>
                  <a:p>
                    <a:r>
                      <a:rPr lang="en-US" sz="1200" b="0" dirty="0" smtClean="0">
                        <a:solidFill>
                          <a:sysClr val="windowText" lastClr="000000"/>
                        </a:solidFill>
                        <a:latin typeface="Century Gothic" panose="020B0502020202020204" pitchFamily="34" charset="0"/>
                      </a:rPr>
                      <a:t>55%</a:t>
                    </a:r>
                    <a:endParaRPr lang="en-US" dirty="0"/>
                  </a:p>
                </c:rich>
              </c:tx>
              <c:showLegendKey val="0"/>
              <c:showVal val="1"/>
              <c:showCatName val="0"/>
              <c:showSerName val="0"/>
              <c:showPercent val="0"/>
              <c:showBubbleSize val="0"/>
            </c:dLbl>
            <c:dLbl>
              <c:idx val="3"/>
              <c:tx>
                <c:rich>
                  <a:bodyPr/>
                  <a:lstStyle/>
                  <a:p>
                    <a:r>
                      <a:rPr lang="en-US" sz="1200" b="0" dirty="0" smtClean="0">
                        <a:solidFill>
                          <a:sysClr val="windowText" lastClr="000000"/>
                        </a:solidFill>
                        <a:latin typeface="Century Gothic" panose="020B0502020202020204" pitchFamily="34" charset="0"/>
                      </a:rPr>
                      <a:t>13%</a:t>
                    </a:r>
                    <a:endParaRPr lang="en-US" b="1" dirty="0">
                      <a:solidFill>
                        <a:schemeClr val="bg1"/>
                      </a:solidFill>
                    </a:endParaRPr>
                  </a:p>
                </c:rich>
              </c:tx>
              <c:showLegendKey val="0"/>
              <c:showVal val="1"/>
              <c:showCatName val="0"/>
              <c:showSerName val="0"/>
              <c:showPercent val="0"/>
              <c:showBubbleSize val="0"/>
            </c:dLbl>
            <c:dLbl>
              <c:idx val="4"/>
              <c:tx>
                <c:rich>
                  <a:bodyPr/>
                  <a:lstStyle/>
                  <a:p>
                    <a:r>
                      <a:rPr lang="en-US" sz="1200" b="0" dirty="0" smtClean="0">
                        <a:solidFill>
                          <a:sysClr val="windowText" lastClr="000000"/>
                        </a:solidFill>
                        <a:latin typeface="Century Gothic" panose="020B0502020202020204" pitchFamily="34" charset="0"/>
                      </a:rPr>
                      <a:t>33%</a:t>
                    </a:r>
                    <a:endParaRPr lang="en-US" dirty="0"/>
                  </a:p>
                </c:rich>
              </c:tx>
              <c:showLegendKey val="0"/>
              <c:showVal val="1"/>
              <c:showCatName val="0"/>
              <c:showSerName val="0"/>
              <c:showPercent val="0"/>
              <c:showBubbleSize val="0"/>
            </c:dLbl>
            <c:dLbl>
              <c:idx val="5"/>
              <c:tx>
                <c:rich>
                  <a:bodyPr/>
                  <a:lstStyle/>
                  <a:p>
                    <a:r>
                      <a:rPr lang="en-US" sz="1200" b="0" smtClean="0">
                        <a:solidFill>
                          <a:sysClr val="windowText" lastClr="000000"/>
                        </a:solidFill>
                        <a:latin typeface="Century Gothic" panose="020B0502020202020204" pitchFamily="34" charset="0"/>
                      </a:rPr>
                      <a:t>28%</a:t>
                    </a:r>
                    <a:endParaRPr lang="en-US"/>
                  </a:p>
                </c:rich>
              </c:tx>
              <c:showLegendKey val="0"/>
              <c:showVal val="1"/>
              <c:showCatName val="0"/>
              <c:showSerName val="0"/>
              <c:showPercent val="0"/>
              <c:showBubbleSize val="0"/>
            </c:dLbl>
            <c:txPr>
              <a:bodyPr/>
              <a:lstStyle/>
              <a:p>
                <a:pPr>
                  <a:defRPr b="0">
                    <a:solidFill>
                      <a:sysClr val="windowText" lastClr="000000"/>
                    </a:solidFill>
                  </a:defRPr>
                </a:pPr>
                <a:endParaRPr lang="en-US"/>
              </a:p>
            </c:txPr>
            <c:showLegendKey val="0"/>
            <c:showVal val="1"/>
            <c:showCatName val="0"/>
            <c:showSerName val="0"/>
            <c:showPercent val="0"/>
            <c:showBubbleSize val="0"/>
            <c:showLeaderLines val="0"/>
          </c:dLbls>
          <c:cat>
            <c:strRef>
              <c:f>Sheet1!$A$2:$A$3</c:f>
              <c:strCache>
                <c:ptCount val="2"/>
                <c:pt idx="0">
                  <c:v>All respondents</c:v>
                </c:pt>
                <c:pt idx="1">
                  <c:v>Respondents who have seen campaign</c:v>
                </c:pt>
              </c:strCache>
            </c:strRef>
          </c:cat>
          <c:val>
            <c:numRef>
              <c:f>Sheet1!$D$2:$D$3</c:f>
              <c:numCache>
                <c:formatCode>0%</c:formatCode>
                <c:ptCount val="2"/>
                <c:pt idx="0">
                  <c:v>0.26</c:v>
                </c:pt>
                <c:pt idx="1">
                  <c:v>0.41</c:v>
                </c:pt>
              </c:numCache>
            </c:numRef>
          </c:val>
        </c:ser>
        <c:dLbls>
          <c:showLegendKey val="0"/>
          <c:showVal val="0"/>
          <c:showCatName val="0"/>
          <c:showSerName val="0"/>
          <c:showPercent val="0"/>
          <c:showBubbleSize val="0"/>
        </c:dLbls>
        <c:gapWidth val="100"/>
        <c:overlap val="100"/>
        <c:axId val="260335104"/>
        <c:axId val="260336640"/>
      </c:barChart>
      <c:catAx>
        <c:axId val="260335104"/>
        <c:scaling>
          <c:orientation val="minMax"/>
        </c:scaling>
        <c:delete val="0"/>
        <c:axPos val="b"/>
        <c:numFmt formatCode="General" sourceLinked="1"/>
        <c:majorTickMark val="none"/>
        <c:minorTickMark val="none"/>
        <c:tickLblPos val="nextTo"/>
        <c:crossAx val="260336640"/>
        <c:crosses val="autoZero"/>
        <c:auto val="1"/>
        <c:lblAlgn val="ctr"/>
        <c:lblOffset val="100"/>
        <c:noMultiLvlLbl val="0"/>
      </c:catAx>
      <c:valAx>
        <c:axId val="260336640"/>
        <c:scaling>
          <c:orientation val="minMax"/>
        </c:scaling>
        <c:delete val="0"/>
        <c:axPos val="l"/>
        <c:numFmt formatCode="0%" sourceLinked="0"/>
        <c:majorTickMark val="none"/>
        <c:minorTickMark val="none"/>
        <c:tickLblPos val="low"/>
        <c:txPr>
          <a:bodyPr/>
          <a:lstStyle/>
          <a:p>
            <a:pPr>
              <a:defRPr sz="900"/>
            </a:pPr>
            <a:endParaRPr lang="en-US"/>
          </a:p>
        </c:txPr>
        <c:crossAx val="260335104"/>
        <c:crosses val="autoZero"/>
        <c:crossBetween val="between"/>
      </c:valAx>
    </c:plotArea>
    <c:legend>
      <c:legendPos val="b"/>
      <c:layout>
        <c:manualLayout>
          <c:xMode val="edge"/>
          <c:yMode val="edge"/>
          <c:x val="0"/>
          <c:y val="0.91245120896200826"/>
          <c:w val="0.99916664291814883"/>
          <c:h val="8.7548647822725187E-2"/>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8.1971907033058736E-3"/>
          <c:y val="8.8217719182796681E-2"/>
          <c:w val="0.98543801067860282"/>
          <c:h val="0.66102326420427637"/>
        </c:manualLayout>
      </c:layout>
      <c:barChart>
        <c:barDir val="col"/>
        <c:grouping val="clustered"/>
        <c:varyColors val="0"/>
        <c:ser>
          <c:idx val="1"/>
          <c:order val="0"/>
          <c:tx>
            <c:strRef>
              <c:f>Sheet1!$B$1</c:f>
              <c:strCache>
                <c:ptCount val="1"/>
                <c:pt idx="0">
                  <c:v>Total</c:v>
                </c:pt>
              </c:strCache>
            </c:strRef>
          </c:tx>
          <c:invertIfNegative val="0"/>
          <c:dPt>
            <c:idx val="0"/>
            <c:invertIfNegative val="0"/>
            <c:bubble3D val="0"/>
          </c:dPt>
          <c:dLbls>
            <c:showLegendKey val="0"/>
            <c:showVal val="1"/>
            <c:showCatName val="0"/>
            <c:showSerName val="0"/>
            <c:showPercent val="0"/>
            <c:showBubbleSize val="0"/>
            <c:showLeaderLines val="0"/>
          </c:dLbls>
          <c:cat>
            <c:strRef>
              <c:f>Sheet1!$A$2:$A$7</c:f>
              <c:strCache>
                <c:ptCount val="6"/>
                <c:pt idx="0">
                  <c:v>Bought a product with Health Star Rating displayed</c:v>
                </c:pt>
                <c:pt idx="1">
                  <c:v>Compared the Health Star Rating to other nutritional information on pack</c:v>
                </c:pt>
                <c:pt idx="2">
                  <c:v>Talked to others about the Health Star Rating</c:v>
                </c:pt>
                <c:pt idx="3">
                  <c:v>Avoided a product because of its Health Star Rating</c:v>
                </c:pt>
                <c:pt idx="4">
                  <c:v>Looked up further information about the Health Star Rating</c:v>
                </c:pt>
                <c:pt idx="5">
                  <c:v>Visited the Health Star Rating website</c:v>
                </c:pt>
              </c:strCache>
            </c:strRef>
          </c:cat>
          <c:val>
            <c:numRef>
              <c:f>Sheet1!$B$2:$B$7</c:f>
              <c:numCache>
                <c:formatCode>0%</c:formatCode>
                <c:ptCount val="6"/>
                <c:pt idx="0">
                  <c:v>0.4256998948913</c:v>
                </c:pt>
                <c:pt idx="1">
                  <c:v>0.32011492151940002</c:v>
                </c:pt>
                <c:pt idx="2">
                  <c:v>0.14604346502820001</c:v>
                </c:pt>
                <c:pt idx="3">
                  <c:v>0.14267852688579999</c:v>
                </c:pt>
                <c:pt idx="4">
                  <c:v>0.1132126700515</c:v>
                </c:pt>
                <c:pt idx="5">
                  <c:v>4.6738578502599999E-2</c:v>
                </c:pt>
              </c:numCache>
            </c:numRef>
          </c:val>
        </c:ser>
        <c:ser>
          <c:idx val="0"/>
          <c:order val="1"/>
          <c:tx>
            <c:strRef>
              <c:f>Sheet1!$C$1</c:f>
              <c:strCache>
                <c:ptCount val="1"/>
                <c:pt idx="0">
                  <c:v>Seen campaign</c:v>
                </c:pt>
              </c:strCache>
            </c:strRef>
          </c:tx>
          <c:invertIfNegative val="0"/>
          <c:dPt>
            <c:idx val="0"/>
            <c:invertIfNegative val="0"/>
            <c:bubble3D val="0"/>
          </c:dPt>
          <c:dLbls>
            <c:dLbl>
              <c:idx val="1"/>
              <c:layout>
                <c:manualLayout>
                  <c:x val="1.0978949315785457E-2"/>
                  <c:y val="5.2476634775310392E-7"/>
                </c:manualLayout>
              </c:layout>
              <c:showLegendKey val="0"/>
              <c:showVal val="1"/>
              <c:showCatName val="0"/>
              <c:showSerName val="0"/>
              <c:showPercent val="0"/>
              <c:showBubbleSize val="0"/>
            </c:dLbl>
            <c:dLbl>
              <c:idx val="6"/>
              <c:layout>
                <c:manualLayout>
                  <c:x val="7.8421066541324684E-3"/>
                  <c:y val="2.6238317389182465E-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Sheet1!$A$2:$A$7</c:f>
              <c:strCache>
                <c:ptCount val="6"/>
                <c:pt idx="0">
                  <c:v>Bought a product with Health Star Rating displayed</c:v>
                </c:pt>
                <c:pt idx="1">
                  <c:v>Compared the Health Star Rating to other nutritional information on pack</c:v>
                </c:pt>
                <c:pt idx="2">
                  <c:v>Talked to others about the Health Star Rating</c:v>
                </c:pt>
                <c:pt idx="3">
                  <c:v>Avoided a product because of its Health Star Rating</c:v>
                </c:pt>
                <c:pt idx="4">
                  <c:v>Looked up further information about the Health Star Rating</c:v>
                </c:pt>
                <c:pt idx="5">
                  <c:v>Visited the Health Star Rating website</c:v>
                </c:pt>
              </c:strCache>
            </c:strRef>
          </c:cat>
          <c:val>
            <c:numRef>
              <c:f>Sheet1!$C$2:$C$7</c:f>
              <c:numCache>
                <c:formatCode>0%</c:formatCode>
                <c:ptCount val="6"/>
                <c:pt idx="0">
                  <c:v>0.73181648377420006</c:v>
                </c:pt>
                <c:pt idx="1">
                  <c:v>0.62083713750970004</c:v>
                </c:pt>
                <c:pt idx="2">
                  <c:v>0.39128511376429997</c:v>
                </c:pt>
                <c:pt idx="3">
                  <c:v>0.3072045706255</c:v>
                </c:pt>
                <c:pt idx="4">
                  <c:v>0.29977278153519998</c:v>
                </c:pt>
                <c:pt idx="5">
                  <c:v>0.1596359896441</c:v>
                </c:pt>
              </c:numCache>
            </c:numRef>
          </c:val>
        </c:ser>
        <c:dLbls>
          <c:showLegendKey val="0"/>
          <c:showVal val="0"/>
          <c:showCatName val="0"/>
          <c:showSerName val="0"/>
          <c:showPercent val="0"/>
          <c:showBubbleSize val="0"/>
        </c:dLbls>
        <c:gapWidth val="164"/>
        <c:axId val="260432256"/>
        <c:axId val="260433792"/>
      </c:barChart>
      <c:catAx>
        <c:axId val="260432256"/>
        <c:scaling>
          <c:orientation val="minMax"/>
        </c:scaling>
        <c:delete val="0"/>
        <c:axPos val="b"/>
        <c:majorTickMark val="none"/>
        <c:minorTickMark val="none"/>
        <c:tickLblPos val="nextTo"/>
        <c:txPr>
          <a:bodyPr/>
          <a:lstStyle/>
          <a:p>
            <a:pPr>
              <a:defRPr sz="800"/>
            </a:pPr>
            <a:endParaRPr lang="en-US"/>
          </a:p>
        </c:txPr>
        <c:crossAx val="260433792"/>
        <c:crosses val="autoZero"/>
        <c:auto val="1"/>
        <c:lblAlgn val="ctr"/>
        <c:lblOffset val="100"/>
        <c:noMultiLvlLbl val="0"/>
      </c:catAx>
      <c:valAx>
        <c:axId val="260433792"/>
        <c:scaling>
          <c:orientation val="minMax"/>
        </c:scaling>
        <c:delete val="1"/>
        <c:axPos val="l"/>
        <c:numFmt formatCode="0%" sourceLinked="1"/>
        <c:majorTickMark val="out"/>
        <c:minorTickMark val="none"/>
        <c:tickLblPos val="none"/>
        <c:crossAx val="260432256"/>
        <c:crosses val="autoZero"/>
        <c:crossBetween val="between"/>
      </c:valAx>
    </c:plotArea>
    <c:legend>
      <c:legendPos val="r"/>
      <c:layout>
        <c:manualLayout>
          <c:xMode val="edge"/>
          <c:yMode val="edge"/>
          <c:x val="0.64253762304843398"/>
          <c:y val="1.9385656036649698E-2"/>
          <c:w val="0.35746237695156596"/>
          <c:h val="0.15004014462560544"/>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905919251068345"/>
          <c:y val="0.33215755125203944"/>
          <c:w val="0.81724651365654777"/>
          <c:h val="0.66444249774773689"/>
        </c:manualLayout>
      </c:layout>
      <c:barChart>
        <c:barDir val="bar"/>
        <c:grouping val="stacked"/>
        <c:varyColors val="0"/>
        <c:ser>
          <c:idx val="1"/>
          <c:order val="0"/>
          <c:tx>
            <c:strRef>
              <c:f>Sheet1!$B$1</c:f>
              <c:strCache>
                <c:ptCount val="1"/>
                <c:pt idx="0">
                  <c:v>Other</c:v>
                </c:pt>
              </c:strCache>
            </c:strRef>
          </c:tx>
          <c:spPr>
            <a:solidFill>
              <a:schemeClr val="tx1"/>
            </a:solidFill>
          </c:spPr>
          <c:invertIfNegative val="0"/>
          <c:dLbls>
            <c:dLbl>
              <c:idx val="0"/>
              <c:layout>
                <c:manualLayout>
                  <c:x val="5.9024140408670701E-3"/>
                  <c:y val="4.2121109562692302E-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3780175510837704E-3"/>
                  <c:y val="2.1060554781346201E-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47560351021675E-3"/>
                  <c:y val="2.675111668326589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47560351021675E-3"/>
                  <c:y val="6.3181664344038498E-7"/>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9182845632817799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9512070204335099E-3"/>
                  <c:y val="4.2121109562692302E-7"/>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9024140408670102E-3"/>
                  <c:y val="-2.673848035039709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47560351021675E-3"/>
                  <c:y val="6.3181664344038498E-7"/>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5.7926125122455903E-4"/>
                  <c:y val="4.0379567938623098E-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sz="10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c:f>
              <c:strCache>
                <c:ptCount val="2"/>
                <c:pt idx="0">
                  <c:v>Total</c:v>
                </c:pt>
                <c:pt idx="1">
                  <c:v>Seen campaign</c:v>
                </c:pt>
              </c:strCache>
            </c:strRef>
          </c:cat>
          <c:val>
            <c:numRef>
              <c:f>Sheet1!$B$2:$B$3</c:f>
              <c:numCache>
                <c:formatCode>0%</c:formatCode>
                <c:ptCount val="2"/>
                <c:pt idx="0">
                  <c:v>2.3889759641169999E-2</c:v>
                </c:pt>
                <c:pt idx="1">
                  <c:v>2.7044850527790001E-2</c:v>
                </c:pt>
              </c:numCache>
            </c:numRef>
          </c:val>
        </c:ser>
        <c:ser>
          <c:idx val="2"/>
          <c:order val="1"/>
          <c:tx>
            <c:strRef>
              <c:f>Sheet1!$C$1</c:f>
              <c:strCache>
                <c:ptCount val="1"/>
                <c:pt idx="0">
                  <c:v>Not Sure</c:v>
                </c:pt>
              </c:strCache>
            </c:strRef>
          </c:tx>
          <c:spPr>
            <a:solidFill>
              <a:sysClr val="window" lastClr="FFFFFF">
                <a:lumMod val="75000"/>
              </a:sysClr>
            </a:solidFill>
          </c:spPr>
          <c:invertIfNegative val="0"/>
          <c:dLbls>
            <c:spPr>
              <a:noFill/>
              <a:ln>
                <a:noFill/>
              </a:ln>
              <a:effectLst/>
            </c:spPr>
            <c:txPr>
              <a:bodyPr rot="0" vert="horz"/>
              <a:lstStyle/>
              <a:p>
                <a:pPr>
                  <a:defRPr sz="1000">
                    <a:solidFill>
                      <a:schemeClr val="tx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c:f>
              <c:strCache>
                <c:ptCount val="2"/>
                <c:pt idx="0">
                  <c:v>Total</c:v>
                </c:pt>
                <c:pt idx="1">
                  <c:v>Seen campaign</c:v>
                </c:pt>
              </c:strCache>
            </c:strRef>
          </c:cat>
          <c:val>
            <c:numRef>
              <c:f>Sheet1!$C$2:$C$3</c:f>
              <c:numCache>
                <c:formatCode>0%</c:formatCode>
                <c:ptCount val="2"/>
                <c:pt idx="0">
                  <c:v>0.1043964444089</c:v>
                </c:pt>
                <c:pt idx="1">
                  <c:v>4.8525500629140003E-2</c:v>
                </c:pt>
              </c:numCache>
            </c:numRef>
          </c:val>
        </c:ser>
        <c:ser>
          <c:idx val="3"/>
          <c:order val="2"/>
          <c:tx>
            <c:strRef>
              <c:f>Sheet1!$D$1</c:f>
              <c:strCache>
                <c:ptCount val="1"/>
                <c:pt idx="0">
                  <c:v>Yes - it had a lower HSR than my usual product</c:v>
                </c:pt>
              </c:strCache>
            </c:strRef>
          </c:tx>
          <c:spPr>
            <a:solidFill>
              <a:srgbClr val="F79646">
                <a:lumMod val="50000"/>
              </a:srgbClr>
            </a:solidFill>
          </c:spPr>
          <c:invertIfNegative val="0"/>
          <c:dLbls>
            <c:spPr>
              <a:noFill/>
              <a:ln>
                <a:noFill/>
              </a:ln>
              <a:effectLst/>
            </c:spPr>
            <c:txPr>
              <a:bodyPr rot="0" vert="horz"/>
              <a:lstStyle/>
              <a:p>
                <a:pPr>
                  <a:defRPr sz="100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c:f>
              <c:strCache>
                <c:ptCount val="2"/>
                <c:pt idx="0">
                  <c:v>Total</c:v>
                </c:pt>
                <c:pt idx="1">
                  <c:v>Seen campaign</c:v>
                </c:pt>
              </c:strCache>
            </c:strRef>
          </c:cat>
          <c:val>
            <c:numRef>
              <c:f>Sheet1!$D$2:$D$3</c:f>
              <c:numCache>
                <c:formatCode>0%</c:formatCode>
                <c:ptCount val="2"/>
                <c:pt idx="0">
                  <c:v>4.7760000591839998E-2</c:v>
                </c:pt>
                <c:pt idx="1">
                  <c:v>6.6548321241630001E-2</c:v>
                </c:pt>
              </c:numCache>
            </c:numRef>
          </c:val>
        </c:ser>
        <c:ser>
          <c:idx val="4"/>
          <c:order val="3"/>
          <c:tx>
            <c:strRef>
              <c:f>Sheet1!$E$1</c:f>
              <c:strCache>
                <c:ptCount val="1"/>
                <c:pt idx="0">
                  <c:v>No - I just noticed that it has a HSR displayed</c:v>
                </c:pt>
              </c:strCache>
            </c:strRef>
          </c:tx>
          <c:spPr>
            <a:solidFill>
              <a:srgbClr val="F79646">
                <a:lumMod val="60000"/>
                <a:lumOff val="40000"/>
              </a:srgbClr>
            </a:solidFill>
          </c:spPr>
          <c:invertIfNegative val="0"/>
          <c:dLbls>
            <c:spPr>
              <a:noFill/>
              <a:ln>
                <a:noFill/>
              </a:ln>
              <a:effectLst/>
            </c:spPr>
            <c:txPr>
              <a:bodyPr rot="0" vert="horz"/>
              <a:lstStyle/>
              <a:p>
                <a:pPr>
                  <a:defRPr sz="1000">
                    <a:solidFill>
                      <a:schemeClr val="tx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c:f>
              <c:strCache>
                <c:ptCount val="2"/>
                <c:pt idx="0">
                  <c:v>Total</c:v>
                </c:pt>
                <c:pt idx="1">
                  <c:v>Seen campaign</c:v>
                </c:pt>
              </c:strCache>
            </c:strRef>
          </c:cat>
          <c:val>
            <c:numRef>
              <c:f>Sheet1!$E$2:$E$3</c:f>
              <c:numCache>
                <c:formatCode>0%</c:formatCode>
                <c:ptCount val="2"/>
                <c:pt idx="0">
                  <c:v>0.49181965690930002</c:v>
                </c:pt>
                <c:pt idx="1">
                  <c:v>0.3847263133735</c:v>
                </c:pt>
              </c:numCache>
            </c:numRef>
          </c:val>
        </c:ser>
        <c:ser>
          <c:idx val="5"/>
          <c:order val="4"/>
          <c:tx>
            <c:strRef>
              <c:f>Sheet1!$F$1</c:f>
              <c:strCache>
                <c:ptCount val="1"/>
                <c:pt idx="0">
                  <c:v>Yes - it had a higher HSR than my usual product</c:v>
                </c:pt>
              </c:strCache>
            </c:strRef>
          </c:tx>
          <c:spPr>
            <a:solidFill>
              <a:srgbClr val="F79646"/>
            </a:solidFill>
          </c:spPr>
          <c:invertIfNegative val="0"/>
          <c:dLbls>
            <c:spPr>
              <a:noFill/>
              <a:ln>
                <a:noFill/>
              </a:ln>
              <a:effectLst/>
            </c:spPr>
            <c:txPr>
              <a:bodyPr rot="0" vert="horz"/>
              <a:lstStyle/>
              <a:p>
                <a:pPr>
                  <a:defRPr sz="12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c:f>
              <c:strCache>
                <c:ptCount val="2"/>
                <c:pt idx="0">
                  <c:v>Total</c:v>
                </c:pt>
                <c:pt idx="1">
                  <c:v>Seen campaign</c:v>
                </c:pt>
              </c:strCache>
            </c:strRef>
          </c:cat>
          <c:val>
            <c:numRef>
              <c:f>Sheet1!$F$2:$F$3</c:f>
              <c:numCache>
                <c:formatCode>0%</c:formatCode>
                <c:ptCount val="2"/>
                <c:pt idx="0">
                  <c:v>0.33213413844880002</c:v>
                </c:pt>
                <c:pt idx="1">
                  <c:v>0.47315501422790002</c:v>
                </c:pt>
              </c:numCache>
            </c:numRef>
          </c:val>
        </c:ser>
        <c:dLbls>
          <c:showLegendKey val="0"/>
          <c:showVal val="0"/>
          <c:showCatName val="0"/>
          <c:showSerName val="0"/>
          <c:showPercent val="0"/>
          <c:showBubbleSize val="0"/>
        </c:dLbls>
        <c:gapWidth val="189"/>
        <c:overlap val="100"/>
        <c:axId val="260489984"/>
        <c:axId val="260491520"/>
      </c:barChart>
      <c:catAx>
        <c:axId val="260489984"/>
        <c:scaling>
          <c:orientation val="maxMin"/>
        </c:scaling>
        <c:delete val="0"/>
        <c:axPos val="l"/>
        <c:numFmt formatCode="General" sourceLinked="0"/>
        <c:majorTickMark val="none"/>
        <c:minorTickMark val="none"/>
        <c:tickLblPos val="nextTo"/>
        <c:txPr>
          <a:bodyPr/>
          <a:lstStyle/>
          <a:p>
            <a:pPr>
              <a:defRPr sz="1000"/>
            </a:pPr>
            <a:endParaRPr lang="en-US"/>
          </a:p>
        </c:txPr>
        <c:crossAx val="260491520"/>
        <c:crosses val="autoZero"/>
        <c:auto val="1"/>
        <c:lblAlgn val="ctr"/>
        <c:lblOffset val="100"/>
        <c:noMultiLvlLbl val="0"/>
      </c:catAx>
      <c:valAx>
        <c:axId val="260491520"/>
        <c:scaling>
          <c:orientation val="minMax"/>
        </c:scaling>
        <c:delete val="1"/>
        <c:axPos val="t"/>
        <c:numFmt formatCode="0%" sourceLinked="1"/>
        <c:majorTickMark val="out"/>
        <c:minorTickMark val="none"/>
        <c:tickLblPos val="none"/>
        <c:crossAx val="260489984"/>
        <c:crosses val="autoZero"/>
        <c:crossBetween val="between"/>
      </c:valAx>
    </c:plotArea>
    <c:legend>
      <c:legendPos val="t"/>
      <c:layout>
        <c:manualLayout>
          <c:xMode val="edge"/>
          <c:yMode val="edge"/>
          <c:x val="0.12405065163321197"/>
          <c:y val="5.8558558558558557E-2"/>
          <c:w val="0.81980562386359546"/>
          <c:h val="0.32876179328935229"/>
        </c:manualLayout>
      </c:layout>
      <c:overlay val="0"/>
      <c:txPr>
        <a:bodyPr/>
        <a:lstStyle/>
        <a:p>
          <a:pPr>
            <a:defRPr sz="1000"/>
          </a:pPr>
          <a:endParaRPr lang="en-US"/>
        </a:p>
      </c:txPr>
    </c:legend>
    <c:plotVisOnly val="1"/>
    <c:dispBlanksAs val="gap"/>
    <c:showDLblsOverMax val="0"/>
  </c:chart>
  <c:spPr>
    <a:ln>
      <a:solidFill>
        <a:sysClr val="window" lastClr="FFFFFF">
          <a:lumMod val="50000"/>
        </a:sysClr>
      </a:solidFill>
    </a:ln>
    <a:effectLst/>
  </c:spPr>
  <c:txPr>
    <a:bodyPr/>
    <a:lstStyle/>
    <a:p>
      <a:pPr>
        <a:defRPr sz="105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2629886898297386"/>
          <c:y val="4.4029995644439303E-2"/>
          <c:w val="0.56265065180873564"/>
          <c:h val="0.92130326701174947"/>
        </c:manualLayout>
      </c:layout>
      <c:barChart>
        <c:barDir val="bar"/>
        <c:grouping val="clustered"/>
        <c:varyColors val="0"/>
        <c:ser>
          <c:idx val="1"/>
          <c:order val="0"/>
          <c:tx>
            <c:strRef>
              <c:f>Sheet1!$B$1</c:f>
              <c:strCache>
                <c:ptCount val="1"/>
                <c:pt idx="0">
                  <c:v>Sep'14</c:v>
                </c:pt>
              </c:strCache>
            </c:strRef>
          </c:tx>
          <c:invertIfNegative val="0"/>
          <c:dPt>
            <c:idx val="0"/>
            <c:invertIfNegative val="0"/>
            <c:bubble3D val="0"/>
          </c:dPt>
          <c:dLbls>
            <c:dLbl>
              <c:idx val="0"/>
              <c:layout>
                <c:manualLayout>
                  <c:x val="5.9024140408670701E-3"/>
                  <c:y val="4.2121109562692302E-7"/>
                </c:manualLayout>
              </c:layout>
              <c:showLegendKey val="0"/>
              <c:showVal val="1"/>
              <c:showCatName val="0"/>
              <c:showSerName val="0"/>
              <c:showPercent val="0"/>
              <c:showBubbleSize val="0"/>
            </c:dLbl>
            <c:dLbl>
              <c:idx val="1"/>
              <c:layout>
                <c:manualLayout>
                  <c:x val="7.3780175510837704E-3"/>
                  <c:y val="2.1060554781346201E-7"/>
                </c:manualLayout>
              </c:layout>
              <c:showLegendKey val="0"/>
              <c:showVal val="1"/>
              <c:showCatName val="0"/>
              <c:showSerName val="0"/>
              <c:showPercent val="0"/>
              <c:showBubbleSize val="0"/>
            </c:dLbl>
            <c:dLbl>
              <c:idx val="2"/>
              <c:layout>
                <c:manualLayout>
                  <c:x val="-1.47560351021675E-3"/>
                  <c:y val="2.6751116683265898E-3"/>
                </c:manualLayout>
              </c:layout>
              <c:showLegendKey val="0"/>
              <c:showVal val="1"/>
              <c:showCatName val="0"/>
              <c:showSerName val="0"/>
              <c:showPercent val="0"/>
              <c:showBubbleSize val="0"/>
            </c:dLbl>
            <c:dLbl>
              <c:idx val="3"/>
              <c:layout>
                <c:manualLayout>
                  <c:x val="1.47560351021675E-3"/>
                  <c:y val="6.3181664344038498E-7"/>
                </c:manualLayout>
              </c:layout>
              <c:showLegendKey val="0"/>
              <c:showVal val="1"/>
              <c:showCatName val="0"/>
              <c:showSerName val="0"/>
              <c:showPercent val="0"/>
              <c:showBubbleSize val="0"/>
            </c:dLbl>
            <c:dLbl>
              <c:idx val="4"/>
              <c:layout>
                <c:manualLayout>
                  <c:x val="1.9182845632817799E-2"/>
                  <c:y val="0"/>
                </c:manualLayout>
              </c:layout>
              <c:showLegendKey val="0"/>
              <c:showVal val="1"/>
              <c:showCatName val="0"/>
              <c:showSerName val="0"/>
              <c:showPercent val="0"/>
              <c:showBubbleSize val="0"/>
            </c:dLbl>
            <c:dLbl>
              <c:idx val="5"/>
              <c:layout>
                <c:manualLayout>
                  <c:x val="2.9512070204335099E-3"/>
                  <c:y val="4.2121109562692302E-7"/>
                </c:manualLayout>
              </c:layout>
              <c:showLegendKey val="0"/>
              <c:showVal val="1"/>
              <c:showCatName val="0"/>
              <c:showSerName val="0"/>
              <c:showPercent val="0"/>
              <c:showBubbleSize val="0"/>
            </c:dLbl>
            <c:dLbl>
              <c:idx val="6"/>
              <c:layout>
                <c:manualLayout>
                  <c:x val="5.9024140408670102E-3"/>
                  <c:y val="-2.6738480350397098E-3"/>
                </c:manualLayout>
              </c:layout>
              <c:showLegendKey val="0"/>
              <c:showVal val="1"/>
              <c:showCatName val="0"/>
              <c:showSerName val="0"/>
              <c:showPercent val="0"/>
              <c:showBubbleSize val="0"/>
            </c:dLbl>
            <c:dLbl>
              <c:idx val="7"/>
              <c:layout>
                <c:manualLayout>
                  <c:x val="-1.47560351021675E-3"/>
                  <c:y val="6.3181664344038498E-7"/>
                </c:manualLayout>
              </c:layout>
              <c:showLegendKey val="0"/>
              <c:showVal val="1"/>
              <c:showCatName val="0"/>
              <c:showSerName val="0"/>
              <c:showPercent val="0"/>
              <c:showBubbleSize val="0"/>
            </c:dLbl>
            <c:dLbl>
              <c:idx val="8"/>
              <c:layout>
                <c:manualLayout>
                  <c:x val="-5.7926125122455903E-4"/>
                  <c:y val="4.0379567938623098E-7"/>
                </c:manualLayout>
              </c:layout>
              <c:showLegendKey val="0"/>
              <c:showVal val="1"/>
              <c:showCatName val="0"/>
              <c:showSerName val="0"/>
              <c:showPercent val="0"/>
              <c:showBubbleSize val="0"/>
            </c:dLbl>
            <c:txPr>
              <a:bodyPr rot="0" vert="horz"/>
              <a:lstStyle/>
              <a:p>
                <a:pPr>
                  <a:defRPr sz="900">
                    <a:latin typeface="Century Gothic" panose="020B0502020202020204" pitchFamily="34" charset="0"/>
                  </a:defRPr>
                </a:pPr>
                <a:endParaRPr lang="en-US"/>
              </a:p>
            </c:txPr>
            <c:showLegendKey val="0"/>
            <c:showVal val="1"/>
            <c:showCatName val="0"/>
            <c:showSerName val="0"/>
            <c:showPercent val="0"/>
            <c:showBubbleSize val="0"/>
            <c:showLeaderLines val="0"/>
          </c:dLbls>
          <c:cat>
            <c:strRef>
              <c:f>Sheet1!$A$2:$A$8</c:f>
              <c:strCache>
                <c:ptCount val="7"/>
                <c:pt idx="0">
                  <c:v>Total (overall proportion)</c:v>
                </c:pt>
                <c:pt idx="1">
                  <c:v>18-24</c:v>
                </c:pt>
                <c:pt idx="2">
                  <c:v>25 - 34</c:v>
                </c:pt>
                <c:pt idx="3">
                  <c:v>35 - 44 </c:v>
                </c:pt>
                <c:pt idx="4">
                  <c:v>45 - 54 </c:v>
                </c:pt>
                <c:pt idx="5">
                  <c:v>55 - 64 </c:v>
                </c:pt>
                <c:pt idx="6">
                  <c:v>65 - 84</c:v>
                </c:pt>
              </c:strCache>
            </c:strRef>
          </c:cat>
          <c:val>
            <c:numRef>
              <c:f>Sheet1!$B$2:$B$8</c:f>
              <c:numCache>
                <c:formatCode>0%</c:formatCode>
                <c:ptCount val="7"/>
                <c:pt idx="0">
                  <c:v>0.13</c:v>
                </c:pt>
                <c:pt idx="1">
                  <c:v>0.18</c:v>
                </c:pt>
                <c:pt idx="2">
                  <c:v>0.1</c:v>
                </c:pt>
                <c:pt idx="3">
                  <c:v>0.15</c:v>
                </c:pt>
                <c:pt idx="4">
                  <c:v>0.13</c:v>
                </c:pt>
                <c:pt idx="5">
                  <c:v>0.09</c:v>
                </c:pt>
                <c:pt idx="6">
                  <c:v>0.12</c:v>
                </c:pt>
              </c:numCache>
            </c:numRef>
          </c:val>
        </c:ser>
        <c:ser>
          <c:idx val="0"/>
          <c:order val="1"/>
          <c:tx>
            <c:strRef>
              <c:f>Sheet1!$C$1</c:f>
              <c:strCache>
                <c:ptCount val="1"/>
                <c:pt idx="0">
                  <c:v>Apr'15</c:v>
                </c:pt>
              </c:strCache>
            </c:strRef>
          </c:tx>
          <c:invertIfNegative val="0"/>
          <c:dPt>
            <c:idx val="0"/>
            <c:invertIfNegative val="0"/>
            <c:bubble3D val="0"/>
          </c:dPt>
          <c:dLbls>
            <c:dLbl>
              <c:idx val="1"/>
              <c:layout>
                <c:manualLayout>
                  <c:x val="1.0978949315785457E-2"/>
                  <c:y val="5.2476634775310392E-7"/>
                </c:manualLayout>
              </c:layout>
              <c:showLegendKey val="0"/>
              <c:showVal val="1"/>
              <c:showCatName val="0"/>
              <c:showSerName val="0"/>
              <c:showPercent val="0"/>
              <c:showBubbleSize val="0"/>
            </c:dLbl>
            <c:dLbl>
              <c:idx val="6"/>
              <c:layout>
                <c:manualLayout>
                  <c:x val="7.8421066541324684E-3"/>
                  <c:y val="2.6238317389182465E-7"/>
                </c:manualLayout>
              </c:layout>
              <c:showLegendKey val="0"/>
              <c:showVal val="1"/>
              <c:showCatName val="0"/>
              <c:showSerName val="0"/>
              <c:showPercent val="0"/>
              <c:showBubbleSize val="0"/>
            </c:dLbl>
            <c:txPr>
              <a:bodyPr/>
              <a:lstStyle/>
              <a:p>
                <a:pPr>
                  <a:defRPr sz="900">
                    <a:latin typeface="Century Gothic" panose="020B0502020202020204" pitchFamily="34" charset="0"/>
                  </a:defRPr>
                </a:pPr>
                <a:endParaRPr lang="en-US"/>
              </a:p>
            </c:txPr>
            <c:showLegendKey val="0"/>
            <c:showVal val="1"/>
            <c:showCatName val="0"/>
            <c:showSerName val="0"/>
            <c:showPercent val="0"/>
            <c:showBubbleSize val="0"/>
            <c:showLeaderLines val="0"/>
          </c:dLbls>
          <c:cat>
            <c:strRef>
              <c:f>Sheet1!$A$2:$A$8</c:f>
              <c:strCache>
                <c:ptCount val="7"/>
                <c:pt idx="0">
                  <c:v>Total (overall proportion)</c:v>
                </c:pt>
                <c:pt idx="1">
                  <c:v>18-24</c:v>
                </c:pt>
                <c:pt idx="2">
                  <c:v>25 - 34</c:v>
                </c:pt>
                <c:pt idx="3">
                  <c:v>35 - 44 </c:v>
                </c:pt>
                <c:pt idx="4">
                  <c:v>45 - 54 </c:v>
                </c:pt>
                <c:pt idx="5">
                  <c:v>55 - 64 </c:v>
                </c:pt>
                <c:pt idx="6">
                  <c:v>65 - 84</c:v>
                </c:pt>
              </c:strCache>
            </c:strRef>
          </c:cat>
          <c:val>
            <c:numRef>
              <c:f>Sheet1!$C$2:$C$8</c:f>
              <c:numCache>
                <c:formatCode>0%</c:formatCode>
                <c:ptCount val="7"/>
                <c:pt idx="0">
                  <c:v>0.33</c:v>
                </c:pt>
                <c:pt idx="1">
                  <c:v>0.4715171568239</c:v>
                </c:pt>
                <c:pt idx="2">
                  <c:v>0.38762875249479994</c:v>
                </c:pt>
                <c:pt idx="3">
                  <c:v>0.33944192511120003</c:v>
                </c:pt>
                <c:pt idx="4">
                  <c:v>0.3001820719737</c:v>
                </c:pt>
                <c:pt idx="5">
                  <c:v>0.23585815417349998</c:v>
                </c:pt>
                <c:pt idx="6">
                  <c:v>0.25718975132830002</c:v>
                </c:pt>
              </c:numCache>
            </c:numRef>
          </c:val>
        </c:ser>
        <c:ser>
          <c:idx val="2"/>
          <c:order val="2"/>
          <c:tx>
            <c:strRef>
              <c:f>Sheet1!$D$1</c:f>
              <c:strCache>
                <c:ptCount val="1"/>
                <c:pt idx="0">
                  <c:v>Sep'15</c:v>
                </c:pt>
              </c:strCache>
            </c:strRef>
          </c:tx>
          <c:invertIfNegative val="0"/>
          <c:dLbls>
            <c:txPr>
              <a:bodyPr/>
              <a:lstStyle/>
              <a:p>
                <a:pPr>
                  <a:defRPr sz="900">
                    <a:latin typeface="Century Gothic" panose="020B0502020202020204" pitchFamily="34" charset="0"/>
                  </a:defRPr>
                </a:pPr>
                <a:endParaRPr lang="en-US"/>
              </a:p>
            </c:txPr>
            <c:showLegendKey val="0"/>
            <c:showVal val="1"/>
            <c:showCatName val="0"/>
            <c:showSerName val="0"/>
            <c:showPercent val="0"/>
            <c:showBubbleSize val="0"/>
            <c:showLeaderLines val="0"/>
          </c:dLbls>
          <c:cat>
            <c:strRef>
              <c:f>Sheet1!$A$2:$A$8</c:f>
              <c:strCache>
                <c:ptCount val="7"/>
                <c:pt idx="0">
                  <c:v>Total (overall proportion)</c:v>
                </c:pt>
                <c:pt idx="1">
                  <c:v>18-24</c:v>
                </c:pt>
                <c:pt idx="2">
                  <c:v>25 - 34</c:v>
                </c:pt>
                <c:pt idx="3">
                  <c:v>35 - 44 </c:v>
                </c:pt>
                <c:pt idx="4">
                  <c:v>45 - 54 </c:v>
                </c:pt>
                <c:pt idx="5">
                  <c:v>55 - 64 </c:v>
                </c:pt>
                <c:pt idx="6">
                  <c:v>65 - 84</c:v>
                </c:pt>
              </c:strCache>
            </c:strRef>
          </c:cat>
          <c:val>
            <c:numRef>
              <c:f>Sheet1!$D$2:$D$8</c:f>
              <c:numCache>
                <c:formatCode>0%</c:formatCode>
                <c:ptCount val="7"/>
                <c:pt idx="0">
                  <c:v>0.42</c:v>
                </c:pt>
                <c:pt idx="1">
                  <c:v>0.55000000000000004</c:v>
                </c:pt>
                <c:pt idx="2">
                  <c:v>0.47</c:v>
                </c:pt>
                <c:pt idx="3">
                  <c:v>0.45</c:v>
                </c:pt>
                <c:pt idx="4">
                  <c:v>0.38</c:v>
                </c:pt>
                <c:pt idx="5">
                  <c:v>0.35</c:v>
                </c:pt>
                <c:pt idx="6">
                  <c:v>0.32</c:v>
                </c:pt>
              </c:numCache>
            </c:numRef>
          </c:val>
        </c:ser>
        <c:dLbls>
          <c:showLegendKey val="0"/>
          <c:showVal val="0"/>
          <c:showCatName val="0"/>
          <c:showSerName val="0"/>
          <c:showPercent val="0"/>
          <c:showBubbleSize val="0"/>
        </c:dLbls>
        <c:gapWidth val="81"/>
        <c:axId val="202610176"/>
        <c:axId val="202611712"/>
      </c:barChart>
      <c:catAx>
        <c:axId val="202610176"/>
        <c:scaling>
          <c:orientation val="maxMin"/>
        </c:scaling>
        <c:delete val="0"/>
        <c:axPos val="l"/>
        <c:majorTickMark val="none"/>
        <c:minorTickMark val="none"/>
        <c:tickLblPos val="nextTo"/>
        <c:txPr>
          <a:bodyPr/>
          <a:lstStyle/>
          <a:p>
            <a:pPr>
              <a:defRPr>
                <a:latin typeface="Century Gothic" panose="020B0502020202020204" pitchFamily="34" charset="0"/>
              </a:defRPr>
            </a:pPr>
            <a:endParaRPr lang="en-US"/>
          </a:p>
        </c:txPr>
        <c:crossAx val="202611712"/>
        <c:crosses val="autoZero"/>
        <c:auto val="1"/>
        <c:lblAlgn val="ctr"/>
        <c:lblOffset val="100"/>
        <c:noMultiLvlLbl val="0"/>
      </c:catAx>
      <c:valAx>
        <c:axId val="202611712"/>
        <c:scaling>
          <c:orientation val="minMax"/>
        </c:scaling>
        <c:delete val="1"/>
        <c:axPos val="t"/>
        <c:numFmt formatCode="0%" sourceLinked="1"/>
        <c:majorTickMark val="out"/>
        <c:minorTickMark val="none"/>
        <c:tickLblPos val="none"/>
        <c:crossAx val="202610176"/>
        <c:crosses val="autoZero"/>
        <c:crossBetween val="between"/>
      </c:valAx>
    </c:plotArea>
    <c:legend>
      <c:legendPos val="r"/>
      <c:overlay val="0"/>
      <c:txPr>
        <a:bodyPr/>
        <a:lstStyle/>
        <a:p>
          <a:pPr>
            <a:defRPr>
              <a:latin typeface="Century Gothic" panose="020B0502020202020204" pitchFamily="34"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34553562456510906"/>
          <c:y val="4.40300827781143E-2"/>
          <c:w val="0.4183409183865216"/>
          <c:h val="0.95596982103434724"/>
        </c:manualLayout>
      </c:layout>
      <c:barChart>
        <c:barDir val="bar"/>
        <c:grouping val="clustered"/>
        <c:varyColors val="0"/>
        <c:ser>
          <c:idx val="1"/>
          <c:order val="0"/>
          <c:tx>
            <c:strRef>
              <c:f>Sheet1!$B$1</c:f>
              <c:strCache>
                <c:ptCount val="1"/>
                <c:pt idx="0">
                  <c:v>Sep'14</c:v>
                </c:pt>
              </c:strCache>
            </c:strRef>
          </c:tx>
          <c:invertIfNegative val="0"/>
          <c:dPt>
            <c:idx val="0"/>
            <c:invertIfNegative val="0"/>
            <c:bubble3D val="0"/>
          </c:dPt>
          <c:dLbls>
            <c:dLbl>
              <c:idx val="0"/>
              <c:layout>
                <c:manualLayout>
                  <c:x val="5.9024140408670701E-3"/>
                  <c:y val="4.2121109562692302E-7"/>
                </c:manualLayout>
              </c:layout>
              <c:showLegendKey val="0"/>
              <c:showVal val="1"/>
              <c:showCatName val="0"/>
              <c:showSerName val="0"/>
              <c:showPercent val="0"/>
              <c:showBubbleSize val="0"/>
            </c:dLbl>
            <c:dLbl>
              <c:idx val="1"/>
              <c:layout>
                <c:manualLayout>
                  <c:x val="7.3780175510837704E-3"/>
                  <c:y val="2.1060554781346201E-7"/>
                </c:manualLayout>
              </c:layout>
              <c:showLegendKey val="0"/>
              <c:showVal val="1"/>
              <c:showCatName val="0"/>
              <c:showSerName val="0"/>
              <c:showPercent val="0"/>
              <c:showBubbleSize val="0"/>
            </c:dLbl>
            <c:dLbl>
              <c:idx val="2"/>
              <c:layout>
                <c:manualLayout>
                  <c:x val="-1.47560351021675E-3"/>
                  <c:y val="2.6751116683265898E-3"/>
                </c:manualLayout>
              </c:layout>
              <c:showLegendKey val="0"/>
              <c:showVal val="1"/>
              <c:showCatName val="0"/>
              <c:showSerName val="0"/>
              <c:showPercent val="0"/>
              <c:showBubbleSize val="0"/>
            </c:dLbl>
            <c:dLbl>
              <c:idx val="3"/>
              <c:layout>
                <c:manualLayout>
                  <c:x val="1.47560351021675E-3"/>
                  <c:y val="6.3181664344038498E-7"/>
                </c:manualLayout>
              </c:layout>
              <c:showLegendKey val="0"/>
              <c:showVal val="1"/>
              <c:showCatName val="0"/>
              <c:showSerName val="0"/>
              <c:showPercent val="0"/>
              <c:showBubbleSize val="0"/>
            </c:dLbl>
            <c:dLbl>
              <c:idx val="4"/>
              <c:layout>
                <c:manualLayout>
                  <c:x val="1.9182845632817799E-2"/>
                  <c:y val="0"/>
                </c:manualLayout>
              </c:layout>
              <c:showLegendKey val="0"/>
              <c:showVal val="1"/>
              <c:showCatName val="0"/>
              <c:showSerName val="0"/>
              <c:showPercent val="0"/>
              <c:showBubbleSize val="0"/>
            </c:dLbl>
            <c:dLbl>
              <c:idx val="5"/>
              <c:layout>
                <c:manualLayout>
                  <c:x val="2.9512070204335099E-3"/>
                  <c:y val="4.2121109562692302E-7"/>
                </c:manualLayout>
              </c:layout>
              <c:showLegendKey val="0"/>
              <c:showVal val="1"/>
              <c:showCatName val="0"/>
              <c:showSerName val="0"/>
              <c:showPercent val="0"/>
              <c:showBubbleSize val="0"/>
            </c:dLbl>
            <c:dLbl>
              <c:idx val="6"/>
              <c:layout>
                <c:manualLayout>
                  <c:x val="5.9024140408670102E-3"/>
                  <c:y val="-2.6738480350397098E-3"/>
                </c:manualLayout>
              </c:layout>
              <c:showLegendKey val="0"/>
              <c:showVal val="1"/>
              <c:showCatName val="0"/>
              <c:showSerName val="0"/>
              <c:showPercent val="0"/>
              <c:showBubbleSize val="0"/>
            </c:dLbl>
            <c:dLbl>
              <c:idx val="7"/>
              <c:layout>
                <c:manualLayout>
                  <c:x val="-1.47560351021675E-3"/>
                  <c:y val="6.3181664344038498E-7"/>
                </c:manualLayout>
              </c:layout>
              <c:showLegendKey val="0"/>
              <c:showVal val="1"/>
              <c:showCatName val="0"/>
              <c:showSerName val="0"/>
              <c:showPercent val="0"/>
              <c:showBubbleSize val="0"/>
            </c:dLbl>
            <c:dLbl>
              <c:idx val="8"/>
              <c:layout>
                <c:manualLayout>
                  <c:x val="-5.7926125122455903E-4"/>
                  <c:y val="4.0379567938623098E-7"/>
                </c:manualLayout>
              </c:layout>
              <c:showLegendKey val="0"/>
              <c:showVal val="1"/>
              <c:showCatName val="0"/>
              <c:showSerName val="0"/>
              <c:showPercent val="0"/>
              <c:showBubbleSize val="0"/>
            </c:dLbl>
            <c:txPr>
              <a:bodyPr rot="0" vert="horz"/>
              <a:lstStyle/>
              <a:p>
                <a:pPr>
                  <a:defRPr/>
                </a:pPr>
                <a:endParaRPr lang="en-US"/>
              </a:p>
            </c:txPr>
            <c:showLegendKey val="0"/>
            <c:showVal val="1"/>
            <c:showCatName val="0"/>
            <c:showSerName val="0"/>
            <c:showPercent val="0"/>
            <c:showBubbleSize val="0"/>
            <c:showLeaderLines val="0"/>
          </c:dLbls>
          <c:cat>
            <c:strRef>
              <c:f>Sheet1!$A$2:$A$7</c:f>
              <c:strCache>
                <c:ptCount val="5"/>
                <c:pt idx="0">
                  <c:v>Total</c:v>
                </c:pt>
                <c:pt idx="1">
                  <c:v>BMI - Healthy weight range </c:v>
                </c:pt>
                <c:pt idx="2">
                  <c:v>BMI - Overweight </c:v>
                </c:pt>
                <c:pt idx="3">
                  <c:v>BMI - Obese Class I </c:v>
                </c:pt>
                <c:pt idx="4">
                  <c:v>BMI - Obese Class II + III</c:v>
                </c:pt>
              </c:strCache>
            </c:strRef>
          </c:cat>
          <c:val>
            <c:numRef>
              <c:f>Sheet1!$B$2:$B$7</c:f>
              <c:numCache>
                <c:formatCode>0%</c:formatCode>
                <c:ptCount val="5"/>
                <c:pt idx="0">
                  <c:v>0.13</c:v>
                </c:pt>
                <c:pt idx="1">
                  <c:v>0.15</c:v>
                </c:pt>
                <c:pt idx="2">
                  <c:v>0.13</c:v>
                </c:pt>
                <c:pt idx="3">
                  <c:v>0.12</c:v>
                </c:pt>
                <c:pt idx="4">
                  <c:v>0.11</c:v>
                </c:pt>
              </c:numCache>
            </c:numRef>
          </c:val>
        </c:ser>
        <c:ser>
          <c:idx val="0"/>
          <c:order val="1"/>
          <c:tx>
            <c:strRef>
              <c:f>Sheet1!$C$1</c:f>
              <c:strCache>
                <c:ptCount val="1"/>
                <c:pt idx="0">
                  <c:v>Apr'15</c:v>
                </c:pt>
              </c:strCache>
            </c:strRef>
          </c:tx>
          <c:invertIfNegative val="0"/>
          <c:dPt>
            <c:idx val="0"/>
            <c:invertIfNegative val="0"/>
            <c:bubble3D val="0"/>
          </c:dPt>
          <c:dLbls>
            <c:dLbl>
              <c:idx val="1"/>
              <c:layout>
                <c:manualLayout>
                  <c:x val="7.4693861035071063E-3"/>
                  <c:y val="5.247663477836493E-7"/>
                </c:manualLayout>
              </c:layout>
              <c:showLegendKey val="0"/>
              <c:showVal val="1"/>
              <c:showCatName val="0"/>
              <c:showSerName val="0"/>
              <c:showPercent val="0"/>
              <c:showBubbleSize val="0"/>
            </c:dLbl>
            <c:dLbl>
              <c:idx val="5"/>
              <c:layout>
                <c:manualLayout>
                  <c:x val="8.9632633242085272E-3"/>
                  <c:y val="1.0495326955672986E-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Sheet1!$A$2:$A$7</c:f>
              <c:strCache>
                <c:ptCount val="5"/>
                <c:pt idx="0">
                  <c:v>Total</c:v>
                </c:pt>
                <c:pt idx="1">
                  <c:v>BMI - Healthy weight range </c:v>
                </c:pt>
                <c:pt idx="2">
                  <c:v>BMI - Overweight </c:v>
                </c:pt>
                <c:pt idx="3">
                  <c:v>BMI - Obese Class I </c:v>
                </c:pt>
                <c:pt idx="4">
                  <c:v>BMI - Obese Class II + III</c:v>
                </c:pt>
              </c:strCache>
            </c:strRef>
          </c:cat>
          <c:val>
            <c:numRef>
              <c:f>Sheet1!$C$2:$C$7</c:f>
              <c:numCache>
                <c:formatCode>0%</c:formatCode>
                <c:ptCount val="5"/>
                <c:pt idx="0">
                  <c:v>0.33</c:v>
                </c:pt>
                <c:pt idx="1">
                  <c:v>0.37741376709399999</c:v>
                </c:pt>
                <c:pt idx="2">
                  <c:v>0.33136740708529999</c:v>
                </c:pt>
                <c:pt idx="3">
                  <c:v>0.33766665718490002</c:v>
                </c:pt>
                <c:pt idx="4">
                  <c:v>0.25777112329969998</c:v>
                </c:pt>
              </c:numCache>
            </c:numRef>
          </c:val>
        </c:ser>
        <c:ser>
          <c:idx val="2"/>
          <c:order val="2"/>
          <c:tx>
            <c:strRef>
              <c:f>Sheet1!$D$1</c:f>
              <c:strCache>
                <c:ptCount val="1"/>
                <c:pt idx="0">
                  <c:v>Sep'15</c:v>
                </c:pt>
              </c:strCache>
            </c:strRef>
          </c:tx>
          <c:invertIfNegative val="0"/>
          <c:dPt>
            <c:idx val="0"/>
            <c:invertIfNegative val="0"/>
            <c:bubble3D val="0"/>
          </c:dPt>
          <c:dLbls>
            <c:showLegendKey val="0"/>
            <c:showVal val="1"/>
            <c:showCatName val="0"/>
            <c:showSerName val="0"/>
            <c:showPercent val="0"/>
            <c:showBubbleSize val="0"/>
            <c:showLeaderLines val="0"/>
          </c:dLbls>
          <c:cat>
            <c:strRef>
              <c:f>Sheet1!$A$2:$A$7</c:f>
              <c:strCache>
                <c:ptCount val="5"/>
                <c:pt idx="0">
                  <c:v>Total</c:v>
                </c:pt>
                <c:pt idx="1">
                  <c:v>BMI - Healthy weight range </c:v>
                </c:pt>
                <c:pt idx="2">
                  <c:v>BMI - Overweight </c:v>
                </c:pt>
                <c:pt idx="3">
                  <c:v>BMI - Obese Class I </c:v>
                </c:pt>
                <c:pt idx="4">
                  <c:v>BMI - Obese Class II + III</c:v>
                </c:pt>
              </c:strCache>
            </c:strRef>
          </c:cat>
          <c:val>
            <c:numRef>
              <c:f>Sheet1!$D$2:$D$7</c:f>
              <c:numCache>
                <c:formatCode>0%</c:formatCode>
                <c:ptCount val="5"/>
                <c:pt idx="0">
                  <c:v>0.42</c:v>
                </c:pt>
                <c:pt idx="1">
                  <c:v>0.46</c:v>
                </c:pt>
                <c:pt idx="2">
                  <c:v>0.39</c:v>
                </c:pt>
                <c:pt idx="3">
                  <c:v>0.41</c:v>
                </c:pt>
                <c:pt idx="4">
                  <c:v>0.28999999999999998</c:v>
                </c:pt>
              </c:numCache>
            </c:numRef>
          </c:val>
        </c:ser>
        <c:dLbls>
          <c:showLegendKey val="0"/>
          <c:showVal val="0"/>
          <c:showCatName val="0"/>
          <c:showSerName val="0"/>
          <c:showPercent val="0"/>
          <c:showBubbleSize val="0"/>
        </c:dLbls>
        <c:gapWidth val="133"/>
        <c:axId val="260205952"/>
        <c:axId val="113960064"/>
      </c:barChart>
      <c:catAx>
        <c:axId val="260205952"/>
        <c:scaling>
          <c:orientation val="maxMin"/>
        </c:scaling>
        <c:delete val="0"/>
        <c:axPos val="l"/>
        <c:majorTickMark val="none"/>
        <c:minorTickMark val="none"/>
        <c:tickLblPos val="nextTo"/>
        <c:txPr>
          <a:bodyPr/>
          <a:lstStyle/>
          <a:p>
            <a:pPr>
              <a:defRPr sz="900"/>
            </a:pPr>
            <a:endParaRPr lang="en-US"/>
          </a:p>
        </c:txPr>
        <c:crossAx val="113960064"/>
        <c:crosses val="autoZero"/>
        <c:auto val="1"/>
        <c:lblAlgn val="ctr"/>
        <c:lblOffset val="100"/>
        <c:noMultiLvlLbl val="0"/>
      </c:catAx>
      <c:valAx>
        <c:axId val="113960064"/>
        <c:scaling>
          <c:orientation val="minMax"/>
        </c:scaling>
        <c:delete val="1"/>
        <c:axPos val="t"/>
        <c:numFmt formatCode="0%" sourceLinked="1"/>
        <c:majorTickMark val="out"/>
        <c:minorTickMark val="none"/>
        <c:tickLblPos val="none"/>
        <c:crossAx val="26020595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49835380451013761"/>
          <c:y val="5.18806358128171E-2"/>
          <c:w val="0.50162614737209577"/>
          <c:h val="0.92255977354294094"/>
        </c:manualLayout>
      </c:layout>
      <c:barChart>
        <c:barDir val="bar"/>
        <c:grouping val="clustered"/>
        <c:varyColors val="0"/>
        <c:ser>
          <c:idx val="0"/>
          <c:order val="0"/>
          <c:tx>
            <c:strRef>
              <c:f>Sheet1!$B$1</c:f>
              <c:strCache>
                <c:ptCount val="1"/>
                <c:pt idx="0">
                  <c:v>Total</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9"/>
            <c:invertIfNegative val="0"/>
            <c:bubble3D val="0"/>
          </c:dPt>
          <c:dPt>
            <c:idx val="10"/>
            <c:invertIfNegative val="0"/>
            <c:bubble3D val="0"/>
          </c:dPt>
          <c:dLbls>
            <c:showLegendKey val="0"/>
            <c:showVal val="1"/>
            <c:showCatName val="0"/>
            <c:showSerName val="0"/>
            <c:showPercent val="0"/>
            <c:showBubbleSize val="0"/>
            <c:showLeaderLines val="0"/>
          </c:dLbls>
          <c:cat>
            <c:strRef>
              <c:f>Sheet1!$A$2:$A$19</c:f>
              <c:strCache>
                <c:ptCount val="18"/>
                <c:pt idx="0">
                  <c:v>On food packaging</c:v>
                </c:pt>
                <c:pt idx="1">
                  <c:v>In a TV ad</c:v>
                </c:pt>
                <c:pt idx="2">
                  <c:v>Heard/ saw/ read about it in the news </c:v>
                </c:pt>
                <c:pt idx="3">
                  <c:v>In a catalogue </c:v>
                </c:pt>
                <c:pt idx="4">
                  <c:v>In store promotion</c:v>
                </c:pt>
                <c:pt idx="5">
                  <c:v>Food brand or supermarket website</c:v>
                </c:pt>
                <c:pt idx="6">
                  <c:v>In a paper newspaper or magazine</c:v>
                </c:pt>
                <c:pt idx="7">
                  <c:v>From a friend, work colleague or family member</c:v>
                </c:pt>
                <c:pt idx="8">
                  <c:v>A post on social media</c:v>
                </c:pt>
                <c:pt idx="9">
                  <c:v>On posters/ digital posters in shopping centres</c:v>
                </c:pt>
                <c:pt idx="10">
                  <c:v>In online reviews/ blogs/ opinion pieces</c:v>
                </c:pt>
                <c:pt idx="11">
                  <c:v>In an online newspaper or magazine </c:v>
                </c:pt>
                <c:pt idx="12">
                  <c:v>In an online ad </c:v>
                </c:pt>
                <c:pt idx="13">
                  <c:v>On the radio </c:v>
                </c:pt>
                <c:pt idx="14">
                  <c:v>YouTube / online video streaming</c:v>
                </c:pt>
                <c:pt idx="15">
                  <c:v>On a bus shelter/ on the street or other outdoor areas</c:v>
                </c:pt>
                <c:pt idx="16">
                  <c:v>Other</c:v>
                </c:pt>
                <c:pt idx="17">
                  <c:v>Can't remember</c:v>
                </c:pt>
              </c:strCache>
            </c:strRef>
          </c:cat>
          <c:val>
            <c:numRef>
              <c:f>Sheet1!$B$2:$B$19</c:f>
              <c:numCache>
                <c:formatCode>0%</c:formatCode>
                <c:ptCount val="18"/>
                <c:pt idx="0">
                  <c:v>0.71042439358810006</c:v>
                </c:pt>
                <c:pt idx="1">
                  <c:v>0.29201492996830003</c:v>
                </c:pt>
                <c:pt idx="2">
                  <c:v>0.19494479200379999</c:v>
                </c:pt>
                <c:pt idx="3">
                  <c:v>0.17547028278629997</c:v>
                </c:pt>
                <c:pt idx="4">
                  <c:v>0.15293260188990002</c:v>
                </c:pt>
                <c:pt idx="5">
                  <c:v>0.12463878063459999</c:v>
                </c:pt>
                <c:pt idx="6">
                  <c:v>0.109968670184</c:v>
                </c:pt>
                <c:pt idx="7">
                  <c:v>7.119477082261999E-2</c:v>
                </c:pt>
                <c:pt idx="8">
                  <c:v>6.0264660236980003E-2</c:v>
                </c:pt>
                <c:pt idx="9">
                  <c:v>5.0018759115789999E-2</c:v>
                </c:pt>
                <c:pt idx="10">
                  <c:v>4.274776442409E-2</c:v>
                </c:pt>
                <c:pt idx="11">
                  <c:v>4.2247577774639999E-2</c:v>
                </c:pt>
                <c:pt idx="12">
                  <c:v>4.0839279019600001E-2</c:v>
                </c:pt>
                <c:pt idx="13">
                  <c:v>2.3991216203720002E-2</c:v>
                </c:pt>
                <c:pt idx="14">
                  <c:v>2.172960450803E-2</c:v>
                </c:pt>
                <c:pt idx="15">
                  <c:v>1.0917667725719999E-2</c:v>
                </c:pt>
                <c:pt idx="16">
                  <c:v>1.956778908588E-2</c:v>
                </c:pt>
                <c:pt idx="17">
                  <c:v>7.3823799819450003E-2</c:v>
                </c:pt>
              </c:numCache>
            </c:numRef>
          </c:val>
        </c:ser>
        <c:dLbls>
          <c:showLegendKey val="0"/>
          <c:showVal val="0"/>
          <c:showCatName val="0"/>
          <c:showSerName val="0"/>
          <c:showPercent val="0"/>
          <c:showBubbleSize val="0"/>
        </c:dLbls>
        <c:gapWidth val="63"/>
        <c:axId val="190067840"/>
        <c:axId val="190069376"/>
      </c:barChart>
      <c:catAx>
        <c:axId val="190067840"/>
        <c:scaling>
          <c:orientation val="maxMin"/>
        </c:scaling>
        <c:delete val="0"/>
        <c:axPos val="l"/>
        <c:majorTickMark val="none"/>
        <c:minorTickMark val="none"/>
        <c:tickLblPos val="nextTo"/>
        <c:txPr>
          <a:bodyPr/>
          <a:lstStyle/>
          <a:p>
            <a:pPr>
              <a:defRPr sz="800"/>
            </a:pPr>
            <a:endParaRPr lang="en-US"/>
          </a:p>
        </c:txPr>
        <c:crossAx val="190069376"/>
        <c:crosses val="autoZero"/>
        <c:auto val="1"/>
        <c:lblAlgn val="ctr"/>
        <c:lblOffset val="100"/>
        <c:noMultiLvlLbl val="0"/>
      </c:catAx>
      <c:valAx>
        <c:axId val="190069376"/>
        <c:scaling>
          <c:orientation val="minMax"/>
        </c:scaling>
        <c:delete val="1"/>
        <c:axPos val="t"/>
        <c:numFmt formatCode="0%" sourceLinked="1"/>
        <c:majorTickMark val="out"/>
        <c:minorTickMark val="none"/>
        <c:tickLblPos val="none"/>
        <c:crossAx val="19006784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2.8491634950690035E-2"/>
          <c:y val="0.1671413105388331"/>
          <c:w val="0.93484872902806249"/>
          <c:h val="0.52633055609673396"/>
        </c:manualLayout>
      </c:layout>
      <c:barChart>
        <c:barDir val="bar"/>
        <c:grouping val="stacked"/>
        <c:varyColors val="0"/>
        <c:ser>
          <c:idx val="0"/>
          <c:order val="0"/>
          <c:tx>
            <c:strRef>
              <c:f>Sheet1!$B$1</c:f>
              <c:strCache>
                <c:ptCount val="1"/>
                <c:pt idx="0">
                  <c:v>No products</c:v>
                </c:pt>
              </c:strCache>
            </c:strRef>
          </c:tx>
          <c:spPr>
            <a:solidFill>
              <a:schemeClr val="tx1"/>
            </a:solidFill>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Sheet1!$A$2</c:f>
              <c:strCache>
                <c:ptCount val="1"/>
                <c:pt idx="0">
                  <c:v>How many products that you regularly buy 
have the Health Star Rating?</c:v>
                </c:pt>
              </c:strCache>
            </c:strRef>
          </c:cat>
          <c:val>
            <c:numRef>
              <c:f>Sheet1!$B$2</c:f>
              <c:numCache>
                <c:formatCode>0%</c:formatCode>
                <c:ptCount val="1"/>
                <c:pt idx="0">
                  <c:v>0.42810446996720003</c:v>
                </c:pt>
              </c:numCache>
            </c:numRef>
          </c:val>
        </c:ser>
        <c:ser>
          <c:idx val="1"/>
          <c:order val="1"/>
          <c:tx>
            <c:strRef>
              <c:f>Sheet1!$C$1</c:f>
              <c:strCache>
                <c:ptCount val="1"/>
                <c:pt idx="0">
                  <c:v>Some products</c:v>
                </c:pt>
              </c:strCache>
            </c:strRef>
          </c:tx>
          <c:invertIfNegative val="0"/>
          <c:dPt>
            <c:idx val="0"/>
            <c:invertIfNegative val="0"/>
            <c:bubble3D val="0"/>
          </c:dPt>
          <c:dLbls>
            <c:showLegendKey val="0"/>
            <c:showVal val="1"/>
            <c:showCatName val="0"/>
            <c:showSerName val="0"/>
            <c:showPercent val="0"/>
            <c:showBubbleSize val="0"/>
            <c:showLeaderLines val="0"/>
          </c:dLbls>
          <c:cat>
            <c:strRef>
              <c:f>Sheet1!$A$2</c:f>
              <c:strCache>
                <c:ptCount val="1"/>
                <c:pt idx="0">
                  <c:v>How many products that you regularly buy 
have the Health Star Rating?</c:v>
                </c:pt>
              </c:strCache>
            </c:strRef>
          </c:cat>
          <c:val>
            <c:numRef>
              <c:f>Sheet1!$C$2</c:f>
              <c:numCache>
                <c:formatCode>0%</c:formatCode>
                <c:ptCount val="1"/>
                <c:pt idx="0">
                  <c:v>0.51392887394440001</c:v>
                </c:pt>
              </c:numCache>
            </c:numRef>
          </c:val>
        </c:ser>
        <c:ser>
          <c:idx val="2"/>
          <c:order val="2"/>
          <c:tx>
            <c:strRef>
              <c:f>Sheet1!$D$1</c:f>
              <c:strCache>
                <c:ptCount val="1"/>
                <c:pt idx="0">
                  <c:v>Most products</c:v>
                </c:pt>
              </c:strCache>
            </c:strRef>
          </c:tx>
          <c:invertIfNegative val="0"/>
          <c:dLbls>
            <c:dLbl>
              <c:idx val="0"/>
              <c:layout>
                <c:manualLayout>
                  <c:x val="1.3189906086830086E-3"/>
                  <c:y val="-4.839641618822013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c:f>
              <c:strCache>
                <c:ptCount val="1"/>
                <c:pt idx="0">
                  <c:v>How many products that you regularly buy 
have the Health Star Rating?</c:v>
                </c:pt>
              </c:strCache>
            </c:strRef>
          </c:cat>
          <c:val>
            <c:numRef>
              <c:f>Sheet1!$D$2</c:f>
              <c:numCache>
                <c:formatCode>0%</c:formatCode>
                <c:ptCount val="1"/>
                <c:pt idx="0">
                  <c:v>5.270032399216E-2</c:v>
                </c:pt>
              </c:numCache>
            </c:numRef>
          </c:val>
        </c:ser>
        <c:ser>
          <c:idx val="3"/>
          <c:order val="3"/>
          <c:tx>
            <c:strRef>
              <c:f>Sheet1!$E$1</c:f>
              <c:strCache>
                <c:ptCount val="1"/>
                <c:pt idx="0">
                  <c:v>All products</c:v>
                </c:pt>
              </c:strCache>
            </c:strRef>
          </c:tx>
          <c:invertIfNegative val="0"/>
          <c:dLbls>
            <c:dLbl>
              <c:idx val="0"/>
              <c:layout>
                <c:manualLayout>
                  <c:x val="1.0736379471553398E-2"/>
                  <c:y val="5.665364348540401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c:f>
              <c:strCache>
                <c:ptCount val="1"/>
                <c:pt idx="0">
                  <c:v>How many products that you regularly buy 
have the Health Star Rating?</c:v>
                </c:pt>
              </c:strCache>
            </c:strRef>
          </c:cat>
          <c:val>
            <c:numRef>
              <c:f>Sheet1!$E$2</c:f>
              <c:numCache>
                <c:formatCode>0%</c:formatCode>
                <c:ptCount val="1"/>
                <c:pt idx="0">
                  <c:v>5.2663320962250005E-3</c:v>
                </c:pt>
              </c:numCache>
            </c:numRef>
          </c:val>
        </c:ser>
        <c:dLbls>
          <c:showLegendKey val="0"/>
          <c:showVal val="0"/>
          <c:showCatName val="0"/>
          <c:showSerName val="0"/>
          <c:showPercent val="0"/>
          <c:showBubbleSize val="0"/>
        </c:dLbls>
        <c:gapWidth val="100"/>
        <c:overlap val="100"/>
        <c:axId val="189480320"/>
        <c:axId val="189478784"/>
      </c:barChart>
      <c:valAx>
        <c:axId val="189478784"/>
        <c:scaling>
          <c:orientation val="minMax"/>
          <c:max val="1"/>
        </c:scaling>
        <c:delete val="1"/>
        <c:axPos val="b"/>
        <c:numFmt formatCode="0%" sourceLinked="1"/>
        <c:majorTickMark val="out"/>
        <c:minorTickMark val="none"/>
        <c:tickLblPos val="nextTo"/>
        <c:crossAx val="189480320"/>
        <c:crosses val="autoZero"/>
        <c:crossBetween val="between"/>
      </c:valAx>
      <c:catAx>
        <c:axId val="189480320"/>
        <c:scaling>
          <c:orientation val="minMax"/>
        </c:scaling>
        <c:delete val="1"/>
        <c:axPos val="l"/>
        <c:numFmt formatCode="General" sourceLinked="1"/>
        <c:majorTickMark val="out"/>
        <c:minorTickMark val="none"/>
        <c:tickLblPos val="nextTo"/>
        <c:crossAx val="189478784"/>
        <c:crosses val="autoZero"/>
        <c:auto val="1"/>
        <c:lblAlgn val="ctr"/>
        <c:lblOffset val="100"/>
        <c:noMultiLvlLbl val="0"/>
      </c:catAx>
    </c:plotArea>
    <c:legend>
      <c:legendPos val="b"/>
      <c:layout>
        <c:manualLayout>
          <c:xMode val="edge"/>
          <c:yMode val="edge"/>
          <c:x val="4.9439167934673324E-2"/>
          <c:y val="0.83792726152022856"/>
          <c:w val="0.88860723014005627"/>
          <c:h val="0.10762677026802374"/>
        </c:manualLayout>
      </c:layout>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3.1697067204984518E-2"/>
          <c:y val="0.16191302681082773"/>
          <c:w val="0.93646107263319756"/>
          <c:h val="0.40945355782224996"/>
        </c:manualLayout>
      </c:layout>
      <c:barChart>
        <c:barDir val="bar"/>
        <c:grouping val="stacked"/>
        <c:varyColors val="0"/>
        <c:ser>
          <c:idx val="0"/>
          <c:order val="0"/>
          <c:tx>
            <c:strRef>
              <c:f>Sheet1!$B$1</c:f>
              <c:strCache>
                <c:ptCount val="1"/>
                <c:pt idx="0">
                  <c:v>On no products</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dLbl>
              <c:idx val="0"/>
              <c:layout>
                <c:manualLayout>
                  <c:x val="4.8104129152390096E-3"/>
                  <c:y val="-1.954023519057883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c:f>
              <c:strCache>
                <c:ptCount val="1"/>
                <c:pt idx="0">
                  <c:v>How many products would you like to see the Health Star Rating on?</c:v>
                </c:pt>
              </c:strCache>
            </c:strRef>
          </c:cat>
          <c:val>
            <c:numRef>
              <c:f>Sheet1!$B$2</c:f>
              <c:numCache>
                <c:formatCode>0%</c:formatCode>
                <c:ptCount val="1"/>
                <c:pt idx="0">
                  <c:v>4.09502948789E-2</c:v>
                </c:pt>
              </c:numCache>
            </c:numRef>
          </c:val>
        </c:ser>
        <c:ser>
          <c:idx val="1"/>
          <c:order val="1"/>
          <c:tx>
            <c:strRef>
              <c:f>Sheet1!$C$1</c:f>
              <c:strCache>
                <c:ptCount val="1"/>
                <c:pt idx="0">
                  <c:v>On less products</c:v>
                </c:pt>
              </c:strCache>
            </c:strRef>
          </c:tx>
          <c:invertIfNegative val="0"/>
          <c:dLbls>
            <c:dLbl>
              <c:idx val="0"/>
              <c:layout>
                <c:manualLayout>
                  <c:x val="6.6586407506310976E-3"/>
                  <c:y val="4.9952122284798638E-2"/>
                </c:manualLayout>
              </c:layout>
              <c:spPr/>
              <c:txPr>
                <a:bodyPr/>
                <a:lstStyle/>
                <a:p>
                  <a:pPr>
                    <a:defRPr/>
                  </a:pPr>
                  <a:endParaRPr lang="en-US"/>
                </a:p>
              </c:txPr>
              <c:showLegendKey val="0"/>
              <c:showVal val="1"/>
              <c:showCatName val="0"/>
              <c:showSerName val="0"/>
              <c:showPercent val="0"/>
              <c:showBubbleSize val="0"/>
            </c:dLbl>
            <c:showLegendKey val="0"/>
            <c:showVal val="1"/>
            <c:showCatName val="0"/>
            <c:showSerName val="0"/>
            <c:showPercent val="0"/>
            <c:showBubbleSize val="0"/>
            <c:showLeaderLines val="0"/>
          </c:dLbls>
          <c:cat>
            <c:strRef>
              <c:f>Sheet1!$A$2</c:f>
              <c:strCache>
                <c:ptCount val="1"/>
                <c:pt idx="0">
                  <c:v>How many products would you like to see the Health Star Rating on?</c:v>
                </c:pt>
              </c:strCache>
            </c:strRef>
          </c:cat>
          <c:val>
            <c:numRef>
              <c:f>Sheet1!$C$2</c:f>
              <c:numCache>
                <c:formatCode>0%</c:formatCode>
                <c:ptCount val="1"/>
                <c:pt idx="0">
                  <c:v>1.8619620231290001E-2</c:v>
                </c:pt>
              </c:numCache>
            </c:numRef>
          </c:val>
        </c:ser>
        <c:ser>
          <c:idx val="2"/>
          <c:order val="2"/>
          <c:tx>
            <c:strRef>
              <c:f>Sheet1!$D$1</c:f>
              <c:strCache>
                <c:ptCount val="1"/>
                <c:pt idx="0">
                  <c:v>Don't mind either way</c:v>
                </c:pt>
              </c:strCache>
            </c:strRef>
          </c:tx>
          <c:invertIfNegative val="0"/>
          <c:dLbls>
            <c:showLegendKey val="0"/>
            <c:showVal val="1"/>
            <c:showCatName val="0"/>
            <c:showSerName val="0"/>
            <c:showPercent val="0"/>
            <c:showBubbleSize val="0"/>
            <c:showLeaderLines val="0"/>
          </c:dLbls>
          <c:cat>
            <c:strRef>
              <c:f>Sheet1!$A$2</c:f>
              <c:strCache>
                <c:ptCount val="1"/>
                <c:pt idx="0">
                  <c:v>How many products would you like to see the Health Star Rating on?</c:v>
                </c:pt>
              </c:strCache>
            </c:strRef>
          </c:cat>
          <c:val>
            <c:numRef>
              <c:f>Sheet1!$D$2</c:f>
              <c:numCache>
                <c:formatCode>0%</c:formatCode>
                <c:ptCount val="1"/>
                <c:pt idx="0">
                  <c:v>0.32166884560929998</c:v>
                </c:pt>
              </c:numCache>
            </c:numRef>
          </c:val>
        </c:ser>
        <c:ser>
          <c:idx val="3"/>
          <c:order val="3"/>
          <c:tx>
            <c:strRef>
              <c:f>Sheet1!$E$1</c:f>
              <c:strCache>
                <c:ptCount val="1"/>
                <c:pt idx="0">
                  <c:v>On more products</c:v>
                </c:pt>
              </c:strCache>
            </c:strRef>
          </c:tx>
          <c:invertIfNegative val="0"/>
          <c:dLbls>
            <c:showLegendKey val="0"/>
            <c:showVal val="1"/>
            <c:showCatName val="0"/>
            <c:showSerName val="0"/>
            <c:showPercent val="0"/>
            <c:showBubbleSize val="0"/>
            <c:showLeaderLines val="0"/>
          </c:dLbls>
          <c:cat>
            <c:strRef>
              <c:f>Sheet1!$A$2</c:f>
              <c:strCache>
                <c:ptCount val="1"/>
                <c:pt idx="0">
                  <c:v>How many products would you like to see the Health Star Rating on?</c:v>
                </c:pt>
              </c:strCache>
            </c:strRef>
          </c:cat>
          <c:val>
            <c:numRef>
              <c:f>Sheet1!$E$2</c:f>
              <c:numCache>
                <c:formatCode>0%</c:formatCode>
                <c:ptCount val="1"/>
                <c:pt idx="0">
                  <c:v>0.28821343274799999</c:v>
                </c:pt>
              </c:numCache>
            </c:numRef>
          </c:val>
        </c:ser>
        <c:ser>
          <c:idx val="4"/>
          <c:order val="4"/>
          <c:tx>
            <c:strRef>
              <c:f>Sheet1!$F$1</c:f>
              <c:strCache>
                <c:ptCount val="1"/>
                <c:pt idx="0">
                  <c:v>On all products</c:v>
                </c:pt>
              </c:strCache>
            </c:strRef>
          </c:tx>
          <c:invertIfNegative val="0"/>
          <c:dPt>
            <c:idx val="0"/>
            <c:invertIfNegative val="0"/>
            <c:bubble3D val="0"/>
          </c:dPt>
          <c:dLbls>
            <c:showLegendKey val="0"/>
            <c:showVal val="1"/>
            <c:showCatName val="0"/>
            <c:showSerName val="0"/>
            <c:showPercent val="0"/>
            <c:showBubbleSize val="0"/>
            <c:showLeaderLines val="0"/>
          </c:dLbls>
          <c:cat>
            <c:strRef>
              <c:f>Sheet1!$A$2</c:f>
              <c:strCache>
                <c:ptCount val="1"/>
                <c:pt idx="0">
                  <c:v>How many products would you like to see the Health Star Rating on?</c:v>
                </c:pt>
              </c:strCache>
            </c:strRef>
          </c:cat>
          <c:val>
            <c:numRef>
              <c:f>Sheet1!$F$2</c:f>
              <c:numCache>
                <c:formatCode>0%</c:formatCode>
                <c:ptCount val="1"/>
                <c:pt idx="0">
                  <c:v>0.33054780653260002</c:v>
                </c:pt>
              </c:numCache>
            </c:numRef>
          </c:val>
        </c:ser>
        <c:dLbls>
          <c:showLegendKey val="0"/>
          <c:showVal val="0"/>
          <c:showCatName val="0"/>
          <c:showSerName val="0"/>
          <c:showPercent val="0"/>
          <c:showBubbleSize val="0"/>
        </c:dLbls>
        <c:gapWidth val="100"/>
        <c:overlap val="100"/>
        <c:axId val="193001728"/>
        <c:axId val="193000192"/>
      </c:barChart>
      <c:valAx>
        <c:axId val="193000192"/>
        <c:scaling>
          <c:orientation val="minMax"/>
          <c:max val="1"/>
        </c:scaling>
        <c:delete val="1"/>
        <c:axPos val="b"/>
        <c:numFmt formatCode="0%" sourceLinked="1"/>
        <c:majorTickMark val="none"/>
        <c:minorTickMark val="none"/>
        <c:tickLblPos val="nextTo"/>
        <c:crossAx val="193001728"/>
        <c:crosses val="autoZero"/>
        <c:crossBetween val="between"/>
      </c:valAx>
      <c:catAx>
        <c:axId val="193001728"/>
        <c:scaling>
          <c:orientation val="minMax"/>
        </c:scaling>
        <c:delete val="1"/>
        <c:axPos val="l"/>
        <c:majorTickMark val="out"/>
        <c:minorTickMark val="none"/>
        <c:tickLblPos val="nextTo"/>
        <c:crossAx val="193000192"/>
        <c:crosses val="autoZero"/>
        <c:auto val="1"/>
        <c:lblAlgn val="ctr"/>
        <c:lblOffset val="100"/>
        <c:noMultiLvlLbl val="0"/>
      </c:catAx>
    </c:plotArea>
    <c:legend>
      <c:legendPos val="b"/>
      <c:layout>
        <c:manualLayout>
          <c:xMode val="edge"/>
          <c:yMode val="edge"/>
          <c:x val="4.162296690637933E-2"/>
          <c:y val="0.6158626588249817"/>
          <c:w val="0.91241280850006923"/>
          <c:h val="0.32404249001063179"/>
        </c:manualLayout>
      </c:layout>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42847721652122006"/>
          <c:y val="2.364282303304454E-2"/>
          <c:w val="0.57152278347877994"/>
          <c:h val="0.96658707984082637"/>
        </c:manualLayout>
      </c:layout>
      <c:barChart>
        <c:barDir val="bar"/>
        <c:grouping val="clustered"/>
        <c:varyColors val="0"/>
        <c:ser>
          <c:idx val="1"/>
          <c:order val="0"/>
          <c:tx>
            <c:strRef>
              <c:f>Sheet1!$B$1</c:f>
              <c:strCache>
                <c:ptCount val="1"/>
                <c:pt idx="0">
                  <c:v>Total</c:v>
                </c:pt>
              </c:strCache>
            </c:strRef>
          </c:tx>
          <c:invertIfNegative val="0"/>
          <c:dPt>
            <c:idx val="0"/>
            <c:invertIfNegative val="0"/>
            <c:bubble3D val="0"/>
          </c:dPt>
          <c:dLbls>
            <c:dLbl>
              <c:idx val="1"/>
              <c:layout>
                <c:manualLayout>
                  <c:x val="-2.9877544414028422E-3"/>
                  <c:y val="9.4200721711041133E-3"/>
                </c:manualLayout>
              </c:layout>
              <c:dLblPos val="outEnd"/>
              <c:showLegendKey val="0"/>
              <c:showVal val="1"/>
              <c:showCatName val="0"/>
              <c:showSerName val="0"/>
              <c:showPercent val="0"/>
              <c:showBubbleSize val="0"/>
            </c:dLbl>
            <c:dLbl>
              <c:idx val="2"/>
              <c:layout>
                <c:manualLayout>
                  <c:x val="-1.4938772207014211E-3"/>
                  <c:y val="9.4200721711041133E-3"/>
                </c:manualLayout>
              </c:layout>
              <c:dLblPos val="outEnd"/>
              <c:showLegendKey val="0"/>
              <c:showVal val="1"/>
              <c:showCatName val="0"/>
              <c:showSerName val="0"/>
              <c:showPercent val="0"/>
              <c:showBubbleSize val="0"/>
            </c:dLbl>
            <c:dLbl>
              <c:idx val="10"/>
              <c:layout>
                <c:manualLayout>
                  <c:x val="-1.4938772207014211E-3"/>
                  <c:y val="9.4200721711041133E-3"/>
                </c:manualLayout>
              </c:layout>
              <c:dLblPos val="outEnd"/>
              <c:showLegendKey val="0"/>
              <c:showVal val="1"/>
              <c:showCatName val="0"/>
              <c:showSerName val="0"/>
              <c:showPercent val="0"/>
              <c:showBubbleSize val="0"/>
            </c:dLbl>
            <c:txPr>
              <a:bodyPr rot="0" vert="horz"/>
              <a:lstStyle/>
              <a:p>
                <a:pPr>
                  <a:defRPr sz="800"/>
                </a:pPr>
                <a:endParaRPr lang="en-US"/>
              </a:p>
            </c:txPr>
            <c:dLblPos val="outEnd"/>
            <c:showLegendKey val="0"/>
            <c:showVal val="1"/>
            <c:showCatName val="0"/>
            <c:showSerName val="0"/>
            <c:showPercent val="0"/>
            <c:showBubbleSize val="0"/>
            <c:showLeaderLines val="0"/>
          </c:dLbls>
          <c:cat>
            <c:strRef>
              <c:f>Sheet1!$A$2:$A$15</c:f>
              <c:strCache>
                <c:ptCount val="14"/>
                <c:pt idx="0">
                  <c:v>It is easy to understand</c:v>
                </c:pt>
                <c:pt idx="1">
                  <c:v>Makes its point in a simple way</c:v>
                </c:pt>
                <c:pt idx="2">
                  <c:v>It is informative</c:v>
                </c:pt>
                <c:pt idx="3">
                  <c:v>Helps me think about the healthiness of food</c:v>
                </c:pt>
                <c:pt idx="4">
                  <c:v>Helps me make decisions about which foods to buy</c:v>
                </c:pt>
                <c:pt idx="5">
                  <c:v>It tells me something new</c:v>
                </c:pt>
                <c:pt idx="6">
                  <c:v>It is aimed at someone like me</c:v>
                </c:pt>
                <c:pt idx="7">
                  <c:v>I believe what it says</c:v>
                </c:pt>
                <c:pt idx="8">
                  <c:v>It makes its point in a clever way</c:v>
                </c:pt>
                <c:pt idx="9">
                  <c:v>It really grabs your attention</c:v>
                </c:pt>
                <c:pt idx="10">
                  <c:v>It just washed over me</c:v>
                </c:pt>
                <c:pt idx="11">
                  <c:v>It's boring</c:v>
                </c:pt>
                <c:pt idx="12">
                  <c:v>It's irritating</c:v>
                </c:pt>
                <c:pt idx="13">
                  <c:v>None of these</c:v>
                </c:pt>
              </c:strCache>
            </c:strRef>
          </c:cat>
          <c:val>
            <c:numRef>
              <c:f>Sheet1!$B$2:$B$15</c:f>
              <c:numCache>
                <c:formatCode>0%</c:formatCode>
                <c:ptCount val="14"/>
                <c:pt idx="0">
                  <c:v>0.57401967642279994</c:v>
                </c:pt>
                <c:pt idx="1">
                  <c:v>0.52815885249229999</c:v>
                </c:pt>
                <c:pt idx="2">
                  <c:v>0.48209005175320002</c:v>
                </c:pt>
                <c:pt idx="3">
                  <c:v>0.450561302494</c:v>
                </c:pt>
                <c:pt idx="4">
                  <c:v>0.41113502170869998</c:v>
                </c:pt>
                <c:pt idx="5">
                  <c:v>0.37813754010330003</c:v>
                </c:pt>
                <c:pt idx="6">
                  <c:v>0.34291784232360001</c:v>
                </c:pt>
                <c:pt idx="7">
                  <c:v>0.30639234973810003</c:v>
                </c:pt>
                <c:pt idx="8">
                  <c:v>0.26538675221120001</c:v>
                </c:pt>
                <c:pt idx="9">
                  <c:v>0.24550572290889999</c:v>
                </c:pt>
                <c:pt idx="10">
                  <c:v>0.1524257667909</c:v>
                </c:pt>
                <c:pt idx="11">
                  <c:v>0.120397557781</c:v>
                </c:pt>
                <c:pt idx="12">
                  <c:v>7.40677792901E-2</c:v>
                </c:pt>
                <c:pt idx="13">
                  <c:v>0.1075166493951</c:v>
                </c:pt>
              </c:numCache>
            </c:numRef>
          </c:val>
        </c:ser>
        <c:ser>
          <c:idx val="0"/>
          <c:order val="1"/>
          <c:tx>
            <c:strRef>
              <c:f>Sheet1!$C$1</c:f>
              <c:strCache>
                <c:ptCount val="1"/>
                <c:pt idx="0">
                  <c:v>Seen pre-roll</c:v>
                </c:pt>
              </c:strCache>
            </c:strRef>
          </c:tx>
          <c:invertIfNegative val="0"/>
          <c:dLbls>
            <c:dLbl>
              <c:idx val="5"/>
              <c:layout>
                <c:manualLayout>
                  <c:x val="0"/>
                  <c:y val="-9.4200721711041133E-3"/>
                </c:manualLayout>
              </c:layout>
              <c:dLblPos val="outEnd"/>
              <c:showLegendKey val="0"/>
              <c:showVal val="1"/>
              <c:showCatName val="0"/>
              <c:showSerName val="0"/>
              <c:showPercent val="0"/>
              <c:showBubbleSize val="0"/>
            </c:dLbl>
            <c:dLbl>
              <c:idx val="10"/>
              <c:layout>
                <c:manualLayout>
                  <c:x val="0"/>
                  <c:y val="-3.1400240570347046E-3"/>
                </c:manualLayout>
              </c:layout>
              <c:dLblPos val="outEnd"/>
              <c:showLegendKey val="0"/>
              <c:showVal val="1"/>
              <c:showCatName val="0"/>
              <c:showSerName val="0"/>
              <c:showPercent val="0"/>
              <c:showBubbleSize val="0"/>
            </c:dLbl>
            <c:dLbl>
              <c:idx val="11"/>
              <c:layout>
                <c:manualLayout>
                  <c:x val="-2.9877544414028422E-3"/>
                  <c:y val="-9.4200721711041133E-3"/>
                </c:manualLayout>
              </c:layout>
              <c:dLblPos val="outEnd"/>
              <c:showLegendKey val="0"/>
              <c:showVal val="1"/>
              <c:showCatName val="0"/>
              <c:showSerName val="0"/>
              <c:showPercent val="0"/>
              <c:showBubbleSize val="0"/>
            </c:dLbl>
            <c:dLbl>
              <c:idx val="12"/>
              <c:layout>
                <c:manualLayout>
                  <c:x val="-4.4816316621042636E-3"/>
                  <c:y val="-9.4200721711041133E-3"/>
                </c:manualLayout>
              </c:layout>
              <c:dLblPos val="outEnd"/>
              <c:showLegendKey val="0"/>
              <c:showVal val="1"/>
              <c:showCatName val="0"/>
              <c:showSerName val="0"/>
              <c:showPercent val="0"/>
              <c:showBubbleSize val="0"/>
            </c:dLbl>
            <c:txPr>
              <a:bodyPr/>
              <a:lstStyle/>
              <a:p>
                <a:pPr>
                  <a:defRPr sz="800"/>
                </a:pPr>
                <a:endParaRPr lang="en-US"/>
              </a:p>
            </c:txPr>
            <c:dLblPos val="outEnd"/>
            <c:showLegendKey val="0"/>
            <c:showVal val="1"/>
            <c:showCatName val="0"/>
            <c:showSerName val="0"/>
            <c:showPercent val="0"/>
            <c:showBubbleSize val="0"/>
            <c:showLeaderLines val="0"/>
          </c:dLbls>
          <c:cat>
            <c:strRef>
              <c:f>Sheet1!$A$2:$A$15</c:f>
              <c:strCache>
                <c:ptCount val="14"/>
                <c:pt idx="0">
                  <c:v>It is easy to understand</c:v>
                </c:pt>
                <c:pt idx="1">
                  <c:v>Makes its point in a simple way</c:v>
                </c:pt>
                <c:pt idx="2">
                  <c:v>It is informative</c:v>
                </c:pt>
                <c:pt idx="3">
                  <c:v>Helps me think about the healthiness of food</c:v>
                </c:pt>
                <c:pt idx="4">
                  <c:v>Helps me make decisions about which foods to buy</c:v>
                </c:pt>
                <c:pt idx="5">
                  <c:v>It tells me something new</c:v>
                </c:pt>
                <c:pt idx="6">
                  <c:v>It is aimed at someone like me</c:v>
                </c:pt>
                <c:pt idx="7">
                  <c:v>I believe what it says</c:v>
                </c:pt>
                <c:pt idx="8">
                  <c:v>It makes its point in a clever way</c:v>
                </c:pt>
                <c:pt idx="9">
                  <c:v>It really grabs your attention</c:v>
                </c:pt>
                <c:pt idx="10">
                  <c:v>It just washed over me</c:v>
                </c:pt>
                <c:pt idx="11">
                  <c:v>It's boring</c:v>
                </c:pt>
                <c:pt idx="12">
                  <c:v>It's irritating</c:v>
                </c:pt>
                <c:pt idx="13">
                  <c:v>None of these</c:v>
                </c:pt>
              </c:strCache>
            </c:strRef>
          </c:cat>
          <c:val>
            <c:numRef>
              <c:f>Sheet1!$C$2:$C$15</c:f>
              <c:numCache>
                <c:formatCode>0%</c:formatCode>
                <c:ptCount val="14"/>
                <c:pt idx="0">
                  <c:v>0.61928993258730003</c:v>
                </c:pt>
                <c:pt idx="1">
                  <c:v>0.52677152077639999</c:v>
                </c:pt>
                <c:pt idx="2">
                  <c:v>0.49521947618749995</c:v>
                </c:pt>
                <c:pt idx="3">
                  <c:v>0.52585998971729997</c:v>
                </c:pt>
                <c:pt idx="4">
                  <c:v>0.50811551856030002</c:v>
                </c:pt>
                <c:pt idx="5">
                  <c:v>0.35762858329449998</c:v>
                </c:pt>
                <c:pt idx="6">
                  <c:v>0.45453701046280004</c:v>
                </c:pt>
                <c:pt idx="7">
                  <c:v>0.41107538632679996</c:v>
                </c:pt>
                <c:pt idx="8">
                  <c:v>0.33247156530319999</c:v>
                </c:pt>
                <c:pt idx="9">
                  <c:v>0.36650038135359997</c:v>
                </c:pt>
                <c:pt idx="10">
                  <c:v>0.13147300262770001</c:v>
                </c:pt>
                <c:pt idx="11">
                  <c:v>0.1209203631874</c:v>
                </c:pt>
                <c:pt idx="12">
                  <c:v>5.7666059900700006E-2</c:v>
                </c:pt>
                <c:pt idx="13">
                  <c:v>8.5414774982210007E-2</c:v>
                </c:pt>
              </c:numCache>
            </c:numRef>
          </c:val>
        </c:ser>
        <c:dLbls>
          <c:showLegendKey val="0"/>
          <c:showVal val="0"/>
          <c:showCatName val="0"/>
          <c:showSerName val="0"/>
          <c:showPercent val="0"/>
          <c:showBubbleSize val="0"/>
        </c:dLbls>
        <c:gapWidth val="100"/>
        <c:axId val="190111104"/>
        <c:axId val="192480384"/>
      </c:barChart>
      <c:catAx>
        <c:axId val="190111104"/>
        <c:scaling>
          <c:orientation val="maxMin"/>
        </c:scaling>
        <c:delete val="0"/>
        <c:axPos val="l"/>
        <c:majorTickMark val="none"/>
        <c:minorTickMark val="none"/>
        <c:tickLblPos val="nextTo"/>
        <c:txPr>
          <a:bodyPr/>
          <a:lstStyle/>
          <a:p>
            <a:pPr>
              <a:defRPr sz="800"/>
            </a:pPr>
            <a:endParaRPr lang="en-US"/>
          </a:p>
        </c:txPr>
        <c:crossAx val="192480384"/>
        <c:crosses val="autoZero"/>
        <c:auto val="1"/>
        <c:lblAlgn val="ctr"/>
        <c:lblOffset val="100"/>
        <c:noMultiLvlLbl val="0"/>
      </c:catAx>
      <c:valAx>
        <c:axId val="192480384"/>
        <c:scaling>
          <c:orientation val="minMax"/>
        </c:scaling>
        <c:delete val="1"/>
        <c:axPos val="t"/>
        <c:numFmt formatCode="0%" sourceLinked="1"/>
        <c:majorTickMark val="out"/>
        <c:minorTickMark val="none"/>
        <c:tickLblPos val="none"/>
        <c:crossAx val="190111104"/>
        <c:crosses val="autoZero"/>
        <c:crossBetween val="between"/>
      </c:valAx>
    </c:plotArea>
    <c:legend>
      <c:legendPos val="r"/>
      <c:layout>
        <c:manualLayout>
          <c:xMode val="edge"/>
          <c:yMode val="edge"/>
          <c:x val="0.57311623258750832"/>
          <c:y val="0.78577353654537507"/>
          <c:w val="0.40742078216117689"/>
          <c:h val="9.4563858956376659E-2"/>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40440985497863408"/>
          <c:y val="1.7707421988918053E-2"/>
          <c:w val="0.52896075078740268"/>
          <c:h val="0.95596991722188596"/>
        </c:manualLayout>
      </c:layout>
      <c:barChart>
        <c:barDir val="bar"/>
        <c:grouping val="clustered"/>
        <c:varyColors val="0"/>
        <c:ser>
          <c:idx val="1"/>
          <c:order val="0"/>
          <c:tx>
            <c:strRef>
              <c:f>Sheet1!$B$1</c:f>
              <c:strCache>
                <c:ptCount val="1"/>
                <c:pt idx="0">
                  <c:v>Total</c:v>
                </c:pt>
              </c:strCache>
            </c:strRef>
          </c:tx>
          <c:invertIfNegative val="0"/>
          <c:dPt>
            <c:idx val="0"/>
            <c:invertIfNegative val="0"/>
            <c:bubble3D val="0"/>
          </c:dPt>
          <c:dLbls>
            <c:dLbl>
              <c:idx val="1"/>
              <c:layout>
                <c:manualLayout>
                  <c:x val="-2.9877544414028422E-3"/>
                  <c:y val="9.4200721711041133E-3"/>
                </c:manualLayout>
              </c:layout>
              <c:dLblPos val="outEnd"/>
              <c:showLegendKey val="0"/>
              <c:showVal val="1"/>
              <c:showCatName val="0"/>
              <c:showSerName val="0"/>
              <c:showPercent val="0"/>
              <c:showBubbleSize val="0"/>
            </c:dLbl>
            <c:dLbl>
              <c:idx val="2"/>
              <c:layout>
                <c:manualLayout>
                  <c:x val="-1.4938772207014211E-3"/>
                  <c:y val="9.4200721711041133E-3"/>
                </c:manualLayout>
              </c:layout>
              <c:dLblPos val="outEnd"/>
              <c:showLegendKey val="0"/>
              <c:showVal val="1"/>
              <c:showCatName val="0"/>
              <c:showSerName val="0"/>
              <c:showPercent val="0"/>
              <c:showBubbleSize val="0"/>
            </c:dLbl>
            <c:dLbl>
              <c:idx val="10"/>
              <c:layout>
                <c:manualLayout>
                  <c:x val="-1.4938772207014211E-3"/>
                  <c:y val="9.4200721711041133E-3"/>
                </c:manualLayout>
              </c:layout>
              <c:dLblPos val="outEnd"/>
              <c:showLegendKey val="0"/>
              <c:showVal val="1"/>
              <c:showCatName val="0"/>
              <c:showSerName val="0"/>
              <c:showPercent val="0"/>
              <c:showBubbleSize val="0"/>
            </c:dLbl>
            <c:txPr>
              <a:bodyPr rot="0" vert="horz"/>
              <a:lstStyle/>
              <a:p>
                <a:pPr>
                  <a:defRPr sz="800"/>
                </a:pPr>
                <a:endParaRPr lang="en-US"/>
              </a:p>
            </c:txPr>
            <c:dLblPos val="outEnd"/>
            <c:showLegendKey val="0"/>
            <c:showVal val="1"/>
            <c:showCatName val="0"/>
            <c:showSerName val="0"/>
            <c:showPercent val="0"/>
            <c:showBubbleSize val="0"/>
            <c:showLeaderLines val="0"/>
          </c:dLbls>
          <c:cat>
            <c:strRef>
              <c:f>Sheet1!$A$2:$A$15</c:f>
              <c:strCache>
                <c:ptCount val="14"/>
                <c:pt idx="0">
                  <c:v>It is easy to understand</c:v>
                </c:pt>
                <c:pt idx="1">
                  <c:v>Makes its point in a simple way</c:v>
                </c:pt>
                <c:pt idx="2">
                  <c:v>It is informative</c:v>
                </c:pt>
                <c:pt idx="3">
                  <c:v>Helps me think about the healthiness of food</c:v>
                </c:pt>
                <c:pt idx="4">
                  <c:v>Helps me make decisions about which foods to buy</c:v>
                </c:pt>
                <c:pt idx="5">
                  <c:v>It tells me something new</c:v>
                </c:pt>
                <c:pt idx="6">
                  <c:v>It is aimed at someone like me</c:v>
                </c:pt>
                <c:pt idx="7">
                  <c:v>I believe what it says</c:v>
                </c:pt>
                <c:pt idx="8">
                  <c:v>It really grabs your attention</c:v>
                </c:pt>
                <c:pt idx="9">
                  <c:v>It makes its point in a clever way</c:v>
                </c:pt>
                <c:pt idx="10">
                  <c:v>It just washed over me</c:v>
                </c:pt>
                <c:pt idx="11">
                  <c:v>It's boring</c:v>
                </c:pt>
                <c:pt idx="12">
                  <c:v>It's irritating</c:v>
                </c:pt>
                <c:pt idx="13">
                  <c:v>None of these</c:v>
                </c:pt>
              </c:strCache>
            </c:strRef>
          </c:cat>
          <c:val>
            <c:numRef>
              <c:f>Sheet1!$B$2:$B$15</c:f>
              <c:numCache>
                <c:formatCode>0%</c:formatCode>
                <c:ptCount val="14"/>
                <c:pt idx="0">
                  <c:v>0.44939221252789996</c:v>
                </c:pt>
                <c:pt idx="1">
                  <c:v>0.42396283806160001</c:v>
                </c:pt>
                <c:pt idx="2">
                  <c:v>0.4140348285962</c:v>
                </c:pt>
                <c:pt idx="3">
                  <c:v>0.37558592880680003</c:v>
                </c:pt>
                <c:pt idx="4">
                  <c:v>0.34750874889640004</c:v>
                </c:pt>
                <c:pt idx="5">
                  <c:v>0.3205811962358</c:v>
                </c:pt>
                <c:pt idx="6">
                  <c:v>0.29129515129950001</c:v>
                </c:pt>
                <c:pt idx="7">
                  <c:v>0.27071836292259999</c:v>
                </c:pt>
                <c:pt idx="8">
                  <c:v>0.19327817877350001</c:v>
                </c:pt>
                <c:pt idx="9">
                  <c:v>0.19086480561540001</c:v>
                </c:pt>
                <c:pt idx="10">
                  <c:v>0.1783915425956</c:v>
                </c:pt>
                <c:pt idx="11">
                  <c:v>0.15435350814490001</c:v>
                </c:pt>
                <c:pt idx="12">
                  <c:v>8.2635710224649994E-2</c:v>
                </c:pt>
                <c:pt idx="13">
                  <c:v>0.15857705094630001</c:v>
                </c:pt>
              </c:numCache>
            </c:numRef>
          </c:val>
        </c:ser>
        <c:ser>
          <c:idx val="0"/>
          <c:order val="1"/>
          <c:tx>
            <c:strRef>
              <c:f>Sheet1!$C$1</c:f>
              <c:strCache>
                <c:ptCount val="1"/>
                <c:pt idx="0">
                  <c:v>Seen any of these ads</c:v>
                </c:pt>
              </c:strCache>
            </c:strRef>
          </c:tx>
          <c:invertIfNegative val="0"/>
          <c:dLbls>
            <c:dLbl>
              <c:idx val="5"/>
              <c:layout>
                <c:manualLayout>
                  <c:x val="0"/>
                  <c:y val="-9.4200721711041133E-3"/>
                </c:manualLayout>
              </c:layout>
              <c:dLblPos val="outEnd"/>
              <c:showLegendKey val="0"/>
              <c:showVal val="1"/>
              <c:showCatName val="0"/>
              <c:showSerName val="0"/>
              <c:showPercent val="0"/>
              <c:showBubbleSize val="0"/>
            </c:dLbl>
            <c:dLbl>
              <c:idx val="10"/>
              <c:layout>
                <c:manualLayout>
                  <c:x val="0"/>
                  <c:y val="-3.1400240570347046E-3"/>
                </c:manualLayout>
              </c:layout>
              <c:dLblPos val="outEnd"/>
              <c:showLegendKey val="0"/>
              <c:showVal val="1"/>
              <c:showCatName val="0"/>
              <c:showSerName val="0"/>
              <c:showPercent val="0"/>
              <c:showBubbleSize val="0"/>
            </c:dLbl>
            <c:dLbl>
              <c:idx val="11"/>
              <c:layout>
                <c:manualLayout>
                  <c:x val="-2.9877544414028422E-3"/>
                  <c:y val="-9.4200721711041133E-3"/>
                </c:manualLayout>
              </c:layout>
              <c:dLblPos val="outEnd"/>
              <c:showLegendKey val="0"/>
              <c:showVal val="1"/>
              <c:showCatName val="0"/>
              <c:showSerName val="0"/>
              <c:showPercent val="0"/>
              <c:showBubbleSize val="0"/>
            </c:dLbl>
            <c:dLbl>
              <c:idx val="12"/>
              <c:layout>
                <c:manualLayout>
                  <c:x val="-4.4816316621042636E-3"/>
                  <c:y val="-9.4200721711041133E-3"/>
                </c:manualLayout>
              </c:layout>
              <c:dLblPos val="outEnd"/>
              <c:showLegendKey val="0"/>
              <c:showVal val="1"/>
              <c:showCatName val="0"/>
              <c:showSerName val="0"/>
              <c:showPercent val="0"/>
              <c:showBubbleSize val="0"/>
            </c:dLbl>
            <c:txPr>
              <a:bodyPr/>
              <a:lstStyle/>
              <a:p>
                <a:pPr>
                  <a:defRPr sz="800"/>
                </a:pPr>
                <a:endParaRPr lang="en-US"/>
              </a:p>
            </c:txPr>
            <c:dLblPos val="outEnd"/>
            <c:showLegendKey val="0"/>
            <c:showVal val="1"/>
            <c:showCatName val="0"/>
            <c:showSerName val="0"/>
            <c:showPercent val="0"/>
            <c:showBubbleSize val="0"/>
            <c:showLeaderLines val="0"/>
          </c:dLbls>
          <c:cat>
            <c:strRef>
              <c:f>Sheet1!$A$2:$A$15</c:f>
              <c:strCache>
                <c:ptCount val="14"/>
                <c:pt idx="0">
                  <c:v>It is easy to understand</c:v>
                </c:pt>
                <c:pt idx="1">
                  <c:v>Makes its point in a simple way</c:v>
                </c:pt>
                <c:pt idx="2">
                  <c:v>It is informative</c:v>
                </c:pt>
                <c:pt idx="3">
                  <c:v>Helps me think about the healthiness of food</c:v>
                </c:pt>
                <c:pt idx="4">
                  <c:v>Helps me make decisions about which foods to buy</c:v>
                </c:pt>
                <c:pt idx="5">
                  <c:v>It tells me something new</c:v>
                </c:pt>
                <c:pt idx="6">
                  <c:v>It is aimed at someone like me</c:v>
                </c:pt>
                <c:pt idx="7">
                  <c:v>I believe what it says</c:v>
                </c:pt>
                <c:pt idx="8">
                  <c:v>It really grabs your attention</c:v>
                </c:pt>
                <c:pt idx="9">
                  <c:v>It makes its point in a clever way</c:v>
                </c:pt>
                <c:pt idx="10">
                  <c:v>It just washed over me</c:v>
                </c:pt>
                <c:pt idx="11">
                  <c:v>It's boring</c:v>
                </c:pt>
                <c:pt idx="12">
                  <c:v>It's irritating</c:v>
                </c:pt>
                <c:pt idx="13">
                  <c:v>None of these</c:v>
                </c:pt>
              </c:strCache>
            </c:strRef>
          </c:cat>
          <c:val>
            <c:numRef>
              <c:f>Sheet1!$C$2:$C$15</c:f>
              <c:numCache>
                <c:formatCode>0%</c:formatCode>
                <c:ptCount val="14"/>
                <c:pt idx="0">
                  <c:v>0.43770029001659999</c:v>
                </c:pt>
                <c:pt idx="1">
                  <c:v>0.43567884691030001</c:v>
                </c:pt>
                <c:pt idx="2">
                  <c:v>0.40929008668050004</c:v>
                </c:pt>
                <c:pt idx="3">
                  <c:v>0.41950434649370005</c:v>
                </c:pt>
                <c:pt idx="4">
                  <c:v>0.45772160211399998</c:v>
                </c:pt>
                <c:pt idx="5">
                  <c:v>0.30424190619079999</c:v>
                </c:pt>
                <c:pt idx="6">
                  <c:v>0.34245666539699998</c:v>
                </c:pt>
                <c:pt idx="7">
                  <c:v>0.36821291088050001</c:v>
                </c:pt>
                <c:pt idx="8">
                  <c:v>0.26365950507289998</c:v>
                </c:pt>
                <c:pt idx="9">
                  <c:v>0.27451933174760001</c:v>
                </c:pt>
                <c:pt idx="10">
                  <c:v>0.15672483444999999</c:v>
                </c:pt>
                <c:pt idx="11">
                  <c:v>0.14173142178699999</c:v>
                </c:pt>
                <c:pt idx="12">
                  <c:v>0.1115153356544</c:v>
                </c:pt>
                <c:pt idx="13">
                  <c:v>0.17048982272899998</c:v>
                </c:pt>
              </c:numCache>
            </c:numRef>
          </c:val>
        </c:ser>
        <c:dLbls>
          <c:showLegendKey val="0"/>
          <c:showVal val="0"/>
          <c:showCatName val="0"/>
          <c:showSerName val="0"/>
          <c:showPercent val="0"/>
          <c:showBubbleSize val="0"/>
        </c:dLbls>
        <c:gapWidth val="100"/>
        <c:axId val="246569216"/>
        <c:axId val="246595584"/>
      </c:barChart>
      <c:catAx>
        <c:axId val="246569216"/>
        <c:scaling>
          <c:orientation val="maxMin"/>
        </c:scaling>
        <c:delete val="0"/>
        <c:axPos val="l"/>
        <c:majorTickMark val="none"/>
        <c:minorTickMark val="none"/>
        <c:tickLblPos val="nextTo"/>
        <c:txPr>
          <a:bodyPr/>
          <a:lstStyle/>
          <a:p>
            <a:pPr>
              <a:defRPr sz="800"/>
            </a:pPr>
            <a:endParaRPr lang="en-US"/>
          </a:p>
        </c:txPr>
        <c:crossAx val="246595584"/>
        <c:crosses val="autoZero"/>
        <c:auto val="1"/>
        <c:lblAlgn val="ctr"/>
        <c:lblOffset val="100"/>
        <c:noMultiLvlLbl val="0"/>
      </c:catAx>
      <c:valAx>
        <c:axId val="246595584"/>
        <c:scaling>
          <c:orientation val="minMax"/>
        </c:scaling>
        <c:delete val="1"/>
        <c:axPos val="t"/>
        <c:numFmt formatCode="0%" sourceLinked="1"/>
        <c:majorTickMark val="out"/>
        <c:minorTickMark val="none"/>
        <c:tickLblPos val="none"/>
        <c:crossAx val="246569216"/>
        <c:crosses val="autoZero"/>
        <c:crossBetween val="between"/>
      </c:valAx>
    </c:plotArea>
    <c:legend>
      <c:legendPos val="r"/>
      <c:layout>
        <c:manualLayout>
          <c:xMode val="edge"/>
          <c:yMode val="edge"/>
          <c:x val="0.64448004635791356"/>
          <c:y val="0.80499337737581567"/>
          <c:w val="0.34077224101499948"/>
          <c:h val="0.19227765557276547"/>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4905954382117122"/>
          <c:y val="4.9546504160112503E-3"/>
          <c:w val="0.50905976326761226"/>
          <c:h val="0.87594671133473345"/>
        </c:manualLayout>
      </c:layout>
      <c:barChart>
        <c:barDir val="bar"/>
        <c:grouping val="clustered"/>
        <c:varyColors val="0"/>
        <c:ser>
          <c:idx val="1"/>
          <c:order val="0"/>
          <c:tx>
            <c:strRef>
              <c:f>Sheet1!$B$1</c:f>
              <c:strCache>
                <c:ptCount val="1"/>
                <c:pt idx="0">
                  <c:v>Campaign recognisers</c:v>
                </c:pt>
              </c:strCache>
            </c:strRef>
          </c:tx>
          <c:invertIfNegative val="0"/>
          <c:dPt>
            <c:idx val="0"/>
            <c:invertIfNegative val="0"/>
            <c:bubble3D val="0"/>
          </c:dPt>
          <c:dPt>
            <c:idx val="8"/>
            <c:invertIfNegative val="0"/>
            <c:bubble3D val="0"/>
          </c:dPt>
          <c:dLbls>
            <c:dLbl>
              <c:idx val="0"/>
              <c:layout>
                <c:manualLayout>
                  <c:x val="5.9024140408670701E-3"/>
                  <c:y val="4.2121109562692302E-7"/>
                </c:manualLayout>
              </c:layout>
              <c:showLegendKey val="0"/>
              <c:showVal val="1"/>
              <c:showCatName val="0"/>
              <c:showSerName val="0"/>
              <c:showPercent val="0"/>
              <c:showBubbleSize val="0"/>
            </c:dLbl>
            <c:dLbl>
              <c:idx val="1"/>
              <c:layout>
                <c:manualLayout>
                  <c:x val="7.3780175510837704E-3"/>
                  <c:y val="2.1060554781346201E-7"/>
                </c:manualLayout>
              </c:layout>
              <c:showLegendKey val="0"/>
              <c:showVal val="1"/>
              <c:showCatName val="0"/>
              <c:showSerName val="0"/>
              <c:showPercent val="0"/>
              <c:showBubbleSize val="0"/>
            </c:dLbl>
            <c:dLbl>
              <c:idx val="2"/>
              <c:layout>
                <c:manualLayout>
                  <c:x val="-1.47560351021675E-3"/>
                  <c:y val="2.6751116683265898E-3"/>
                </c:manualLayout>
              </c:layout>
              <c:showLegendKey val="0"/>
              <c:showVal val="1"/>
              <c:showCatName val="0"/>
              <c:showSerName val="0"/>
              <c:showPercent val="0"/>
              <c:showBubbleSize val="0"/>
            </c:dLbl>
            <c:dLbl>
              <c:idx val="3"/>
              <c:layout>
                <c:manualLayout>
                  <c:x val="1.47560351021675E-3"/>
                  <c:y val="6.3181664344038498E-7"/>
                </c:manualLayout>
              </c:layout>
              <c:showLegendKey val="0"/>
              <c:showVal val="1"/>
              <c:showCatName val="0"/>
              <c:showSerName val="0"/>
              <c:showPercent val="0"/>
              <c:showBubbleSize val="0"/>
            </c:dLbl>
            <c:dLbl>
              <c:idx val="4"/>
              <c:layout>
                <c:manualLayout>
                  <c:x val="1.9182845632817799E-2"/>
                  <c:y val="0"/>
                </c:manualLayout>
              </c:layout>
              <c:showLegendKey val="0"/>
              <c:showVal val="1"/>
              <c:showCatName val="0"/>
              <c:showSerName val="0"/>
              <c:showPercent val="0"/>
              <c:showBubbleSize val="0"/>
            </c:dLbl>
            <c:dLbl>
              <c:idx val="5"/>
              <c:layout>
                <c:manualLayout>
                  <c:x val="2.9512070204335099E-3"/>
                  <c:y val="4.2121109562692302E-7"/>
                </c:manualLayout>
              </c:layout>
              <c:showLegendKey val="0"/>
              <c:showVal val="1"/>
              <c:showCatName val="0"/>
              <c:showSerName val="0"/>
              <c:showPercent val="0"/>
              <c:showBubbleSize val="0"/>
            </c:dLbl>
            <c:dLbl>
              <c:idx val="6"/>
              <c:layout>
                <c:manualLayout>
                  <c:x val="5.9024140408670102E-3"/>
                  <c:y val="-2.6738480350397098E-3"/>
                </c:manualLayout>
              </c:layout>
              <c:showLegendKey val="0"/>
              <c:showVal val="1"/>
              <c:showCatName val="0"/>
              <c:showSerName val="0"/>
              <c:showPercent val="0"/>
              <c:showBubbleSize val="0"/>
            </c:dLbl>
            <c:dLbl>
              <c:idx val="7"/>
              <c:layout>
                <c:manualLayout>
                  <c:x val="-1.47560351021675E-3"/>
                  <c:y val="6.3181664344038498E-7"/>
                </c:manualLayout>
              </c:layout>
              <c:showLegendKey val="0"/>
              <c:showVal val="1"/>
              <c:showCatName val="0"/>
              <c:showSerName val="0"/>
              <c:showPercent val="0"/>
              <c:showBubbleSize val="0"/>
            </c:dLbl>
            <c:dLbl>
              <c:idx val="8"/>
              <c:layout>
                <c:manualLayout>
                  <c:x val="-5.7926125122455903E-4"/>
                  <c:y val="4.0379567938623098E-7"/>
                </c:manualLayout>
              </c:layout>
              <c:showLegendKey val="0"/>
              <c:showVal val="1"/>
              <c:showCatName val="0"/>
              <c:showSerName val="0"/>
              <c:showPercent val="0"/>
              <c:showBubbleSize val="0"/>
            </c:dLbl>
            <c:txPr>
              <a:bodyPr rot="0" vert="horz"/>
              <a:lstStyle/>
              <a:p>
                <a:pPr>
                  <a:defRPr sz="900"/>
                </a:pPr>
                <a:endParaRPr lang="en-US"/>
              </a:p>
            </c:txPr>
            <c:showLegendKey val="0"/>
            <c:showVal val="1"/>
            <c:showCatName val="0"/>
            <c:showSerName val="0"/>
            <c:showPercent val="0"/>
            <c:showBubbleSize val="0"/>
            <c:showLeaderLines val="0"/>
          </c:dLbls>
          <c:cat>
            <c:strRef>
              <c:f>Sheet1!$A$2:$A$10</c:f>
              <c:strCache>
                <c:ptCount val="9"/>
                <c:pt idx="0">
                  <c:v>Used the Health Star Rating in store</c:v>
                </c:pt>
                <c:pt idx="1">
                  <c:v>Tried to eat healthier</c:v>
                </c:pt>
                <c:pt idx="2">
                  <c:v>Used the Health Star Rating to compare products at the supermarket</c:v>
                </c:pt>
                <c:pt idx="3">
                  <c:v>Thought more about nutrition when buying food at the supermarket</c:v>
                </c:pt>
                <c:pt idx="4">
                  <c:v>Talked to a friend, family or work colleague about the Health Star Rating</c:v>
                </c:pt>
                <c:pt idx="5">
                  <c:v>Looked for information about the Health Star Rating</c:v>
                </c:pt>
                <c:pt idx="6">
                  <c:v>Visited the Health Star Rating website</c:v>
                </c:pt>
                <c:pt idx="7">
                  <c:v>Other</c:v>
                </c:pt>
                <c:pt idx="8">
                  <c:v>None of these</c:v>
                </c:pt>
              </c:strCache>
            </c:strRef>
          </c:cat>
          <c:val>
            <c:numRef>
              <c:f>Sheet1!$B$2:$B$10</c:f>
              <c:numCache>
                <c:formatCode>0%</c:formatCode>
                <c:ptCount val="9"/>
                <c:pt idx="0">
                  <c:v>0.37312241167480004</c:v>
                </c:pt>
                <c:pt idx="1">
                  <c:v>0.30371826495740001</c:v>
                </c:pt>
                <c:pt idx="2">
                  <c:v>0.28919648589339997</c:v>
                </c:pt>
                <c:pt idx="3">
                  <c:v>0.22237733602580001</c:v>
                </c:pt>
                <c:pt idx="4">
                  <c:v>0.15057561688859999</c:v>
                </c:pt>
                <c:pt idx="5">
                  <c:v>0.11634779544109999</c:v>
                </c:pt>
                <c:pt idx="6">
                  <c:v>7.8866935136410007E-2</c:v>
                </c:pt>
                <c:pt idx="7">
                  <c:v>4.5399326124249996E-3</c:v>
                </c:pt>
                <c:pt idx="8">
                  <c:v>0.22710097867270002</c:v>
                </c:pt>
              </c:numCache>
            </c:numRef>
          </c:val>
        </c:ser>
        <c:ser>
          <c:idx val="0"/>
          <c:order val="1"/>
          <c:tx>
            <c:strRef>
              <c:f>Sheet1!$C$1</c:f>
              <c:strCache>
                <c:ptCount val="1"/>
                <c:pt idx="0">
                  <c:v>Among total respondents</c:v>
                </c:pt>
              </c:strCache>
            </c:strRef>
          </c:tx>
          <c:invertIfNegative val="0"/>
          <c:dPt>
            <c:idx val="8"/>
            <c:invertIfNegative val="0"/>
            <c:bubble3D val="0"/>
          </c:dPt>
          <c:dLbls>
            <c:txPr>
              <a:bodyPr/>
              <a:lstStyle/>
              <a:p>
                <a:pPr>
                  <a:defRPr sz="900"/>
                </a:pPr>
                <a:endParaRPr lang="en-US"/>
              </a:p>
            </c:txPr>
            <c:showLegendKey val="0"/>
            <c:showVal val="1"/>
            <c:showCatName val="0"/>
            <c:showSerName val="0"/>
            <c:showPercent val="0"/>
            <c:showBubbleSize val="0"/>
            <c:showLeaderLines val="0"/>
          </c:dLbls>
          <c:cat>
            <c:strRef>
              <c:f>Sheet1!$A$2:$A$10</c:f>
              <c:strCache>
                <c:ptCount val="9"/>
                <c:pt idx="0">
                  <c:v>Used the Health Star Rating in store</c:v>
                </c:pt>
                <c:pt idx="1">
                  <c:v>Tried to eat healthier</c:v>
                </c:pt>
                <c:pt idx="2">
                  <c:v>Used the Health Star Rating to compare products at the supermarket</c:v>
                </c:pt>
                <c:pt idx="3">
                  <c:v>Thought more about nutrition when buying food at the supermarket</c:v>
                </c:pt>
                <c:pt idx="4">
                  <c:v>Talked to a friend, family or work colleague about the Health Star Rating</c:v>
                </c:pt>
                <c:pt idx="5">
                  <c:v>Looked for information about the Health Star Rating</c:v>
                </c:pt>
                <c:pt idx="6">
                  <c:v>Visited the Health Star Rating website</c:v>
                </c:pt>
                <c:pt idx="7">
                  <c:v>Other</c:v>
                </c:pt>
                <c:pt idx="8">
                  <c:v>None of these</c:v>
                </c:pt>
              </c:strCache>
            </c:strRef>
          </c:cat>
          <c:val>
            <c:numRef>
              <c:f>Sheet1!$C$2:$C$10</c:f>
              <c:numCache>
                <c:formatCode>0%</c:formatCode>
                <c:ptCount val="9"/>
                <c:pt idx="0">
                  <c:v>0.04</c:v>
                </c:pt>
                <c:pt idx="1">
                  <c:v>0.03</c:v>
                </c:pt>
                <c:pt idx="2">
                  <c:v>0.03</c:v>
                </c:pt>
                <c:pt idx="3">
                  <c:v>0.02</c:v>
                </c:pt>
                <c:pt idx="4">
                  <c:v>0.01</c:v>
                </c:pt>
                <c:pt idx="5">
                  <c:v>0.01</c:v>
                </c:pt>
                <c:pt idx="6">
                  <c:v>0.01</c:v>
                </c:pt>
                <c:pt idx="7">
                  <c:v>0</c:v>
                </c:pt>
                <c:pt idx="8">
                  <c:v>0.85</c:v>
                </c:pt>
              </c:numCache>
            </c:numRef>
          </c:val>
        </c:ser>
        <c:dLbls>
          <c:showLegendKey val="0"/>
          <c:showVal val="0"/>
          <c:showCatName val="0"/>
          <c:showSerName val="0"/>
          <c:showPercent val="0"/>
          <c:showBubbleSize val="0"/>
        </c:dLbls>
        <c:gapWidth val="81"/>
        <c:axId val="202171520"/>
        <c:axId val="202173056"/>
      </c:barChart>
      <c:catAx>
        <c:axId val="202171520"/>
        <c:scaling>
          <c:orientation val="maxMin"/>
        </c:scaling>
        <c:delete val="0"/>
        <c:axPos val="l"/>
        <c:majorTickMark val="none"/>
        <c:minorTickMark val="none"/>
        <c:tickLblPos val="nextTo"/>
        <c:txPr>
          <a:bodyPr/>
          <a:lstStyle/>
          <a:p>
            <a:pPr>
              <a:defRPr sz="800"/>
            </a:pPr>
            <a:endParaRPr lang="en-US"/>
          </a:p>
        </c:txPr>
        <c:crossAx val="202173056"/>
        <c:crosses val="autoZero"/>
        <c:auto val="1"/>
        <c:lblAlgn val="ctr"/>
        <c:lblOffset val="100"/>
        <c:noMultiLvlLbl val="0"/>
      </c:catAx>
      <c:valAx>
        <c:axId val="202173056"/>
        <c:scaling>
          <c:orientation val="minMax"/>
        </c:scaling>
        <c:delete val="1"/>
        <c:axPos val="t"/>
        <c:numFmt formatCode="0%" sourceLinked="1"/>
        <c:majorTickMark val="out"/>
        <c:minorTickMark val="none"/>
        <c:tickLblPos val="none"/>
        <c:crossAx val="202171520"/>
        <c:crosses val="autoZero"/>
        <c:crossBetween val="between"/>
      </c:valAx>
    </c:plotArea>
    <c:legend>
      <c:legendPos val="r"/>
      <c:layout>
        <c:manualLayout>
          <c:xMode val="edge"/>
          <c:yMode val="edge"/>
          <c:x val="0"/>
          <c:y val="0.87767590694998743"/>
          <c:w val="0.97977138241779493"/>
          <c:h val="0.12084206762502391"/>
        </c:manualLayout>
      </c:layout>
      <c:overlay val="0"/>
      <c:txPr>
        <a:bodyPr/>
        <a:lstStyle/>
        <a:p>
          <a:pPr>
            <a:defRPr sz="900"/>
          </a:pPr>
          <a:endParaRPr lang="en-US"/>
        </a:p>
      </c:tx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0.4113</cdr:x>
      <cdr:y>0.27085</cdr:y>
    </cdr:from>
    <cdr:to>
      <cdr:x>0.76412</cdr:x>
      <cdr:y>0.85422</cdr:y>
    </cdr:to>
    <cdr:sp macro="" textlink="">
      <cdr:nvSpPr>
        <cdr:cNvPr id="3" name="Rectangle 2" title="Null"/>
        <cdr:cNvSpPr/>
      </cdr:nvSpPr>
      <cdr:spPr>
        <a:xfrm xmlns:a="http://schemas.openxmlformats.org/drawingml/2006/main">
          <a:off x="2169042" y="829340"/>
          <a:ext cx="1860698" cy="1786269"/>
        </a:xfrm>
        <a:prstGeom xmlns:a="http://schemas.openxmlformats.org/drawingml/2006/main" prst="rect">
          <a:avLst/>
        </a:prstGeom>
        <a:noFill xmlns:a="http://schemas.openxmlformats.org/drawingml/2006/main"/>
        <a:ln xmlns:a="http://schemas.openxmlformats.org/drawingml/2006/main" w="50800" cmpd="sng">
          <a:solidFill>
            <a:schemeClr val="accent6">
              <a:lumMod val="60000"/>
              <a:lumOff val="40000"/>
              <a:alpha val="39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Custom 28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F79646"/>
      </a:hlink>
      <a:folHlink>
        <a:srgbClr val="800080"/>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38">
    <a:dk1>
      <a:srgbClr val="3D3D3D"/>
    </a:dk1>
    <a:lt1>
      <a:srgbClr val="FFFFFF"/>
    </a:lt1>
    <a:dk2>
      <a:srgbClr val="3D3D3D"/>
    </a:dk2>
    <a:lt2>
      <a:srgbClr val="7F7F7F"/>
    </a:lt2>
    <a:accent1>
      <a:srgbClr val="00AED6"/>
    </a:accent1>
    <a:accent2>
      <a:srgbClr val="F1414E"/>
    </a:accent2>
    <a:accent3>
      <a:srgbClr val="F7941E"/>
    </a:accent3>
    <a:accent4>
      <a:srgbClr val="8458B4"/>
    </a:accent4>
    <a:accent5>
      <a:srgbClr val="00A287"/>
    </a:accent5>
    <a:accent6>
      <a:srgbClr val="00AED6"/>
    </a:accent6>
    <a:hlink>
      <a:srgbClr val="00AED6"/>
    </a:hlink>
    <a:folHlink>
      <a:srgbClr val="628E2C"/>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4730E-3A18-4162-B313-5795510C0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7650</Words>
  <Characters>43609</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2015-11-26T23:08:00Z</dcterms:created>
  <dcterms:modified xsi:type="dcterms:W3CDTF">2015-11-26T23:21:00Z</dcterms:modified>
</cp:coreProperties>
</file>